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875"/>
        <w:gridCol w:w="630"/>
        <w:gridCol w:w="2985"/>
      </w:tblGrid>
      <w:tr>
        <w:trPr>
          <w:cantSplit/>
          <w:trHeight w:val="1050" w:hRule="exact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下水道排水設備指定工事店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再開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届出書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条の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の規定に基づき、下水道排水設備工事の事業の廃止・休止・再開の届出をします。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260"/>
        <w:gridCol w:w="1602"/>
        <w:gridCol w:w="2478"/>
        <w:gridCol w:w="1890"/>
      </w:tblGrid>
      <w:tr>
        <w:trPr>
          <w:trHeight w:val="840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84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59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15" w:hRule="exac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pacing w:val="6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0" w:hRule="exact"/>
        </w:trPr>
        <w:tc>
          <w:tcPr>
            <w:tcW w:w="4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pacing w:val="63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指定工事店所在地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315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5" w:afterLines="0" w:afterAutospacing="0"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廃止・休止・再開の年月日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05" w:afterLines="0" w:afterAutospacing="0" w:line="42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廃止・休止・再開の理由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廃止届出書については指定工事店証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</Words>
  <Characters>237</Characters>
  <Application>JUST Note</Application>
  <Lines>143</Lines>
  <Paragraphs>40</Paragraphs>
  <CharactersWithSpaces>279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2023-11-14T06:37:21Z</dcterms:modified>
  <cp:revision>8</cp:revision>
</cp:coreProperties>
</file>