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下水道排水設備指定工事店証再交付申請書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上野原市下水道排水設備指定工事店規則第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260"/>
        <w:gridCol w:w="174"/>
        <w:gridCol w:w="1428"/>
        <w:gridCol w:w="2478"/>
        <w:gridCol w:w="1890"/>
      </w:tblGrid>
      <w:tr>
        <w:trPr>
          <w:trHeight w:val="840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2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指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7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"/>
                <w:kern w:val="2"/>
                <w:sz w:val="21"/>
              </w:rPr>
              <w:t>指定工事店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名及び所在地</w:t>
            </w:r>
          </w:p>
        </w:tc>
        <w:tc>
          <w:tcPr>
            <w:tcW w:w="5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40" w:afterLines="0" w:afterAutospacing="0"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8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60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個人の場合は、住民票の写し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法人の場合は、定款及び登記事項証明書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き損した場合は指定工事店証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225</Characters>
  <Application>JUST Note</Application>
  <Lines>197</Lines>
  <Paragraphs>37</Paragraphs>
  <CharactersWithSpaces>275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2020-01-27T18:19:00Z</dcterms:created>
  <dcterms:modified xsi:type="dcterms:W3CDTF">2023-11-14T06:34:31Z</dcterms:modified>
  <cp:revision>6</cp:revision>
</cp:coreProperties>
</file>