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kinsoku w:val="1"/>
        <w:wordWrap w:val="0"/>
        <w:overflowPunct w:val="1"/>
        <w:autoSpaceDE w:val="1"/>
        <w:autoSpaceDN w:val="0"/>
        <w:jc w:val="both"/>
        <w:rPr>
          <w:rFonts w:hint="default" w:asciiTheme="minorEastAsia" w:hAnsiTheme="minorEastAsia" w:eastAsiaTheme="minorEastAsia"/>
          <w:sz w:val="24"/>
        </w:rPr>
      </w:pPr>
      <w:r>
        <w:rPr>
          <w:rFonts w:hint="eastAsia" w:asciiTheme="minorEastAsia" w:hAnsiTheme="minorEastAsia" w:eastAsiaTheme="minorEastAsia"/>
          <w:sz w:val="24"/>
        </w:rPr>
        <w:t>様式第２号（第３条関係）</w:t>
      </w:r>
    </w:p>
    <w:p>
      <w:pPr>
        <w:pStyle w:val="15"/>
        <w:kinsoku w:val="1"/>
        <w:wordWrap w:val="0"/>
        <w:overflowPunct w:val="1"/>
        <w:autoSpaceDE w:val="1"/>
        <w:autoSpaceDN w:val="0"/>
        <w:jc w:val="both"/>
        <w:rPr>
          <w:rFonts w:hint="default" w:asciiTheme="minorEastAsia" w:hAnsiTheme="minorEastAsia" w:eastAsiaTheme="minorEastAsia"/>
          <w:sz w:val="24"/>
        </w:rPr>
      </w:pPr>
    </w:p>
    <w:p>
      <w:pPr>
        <w:pStyle w:val="0"/>
        <w:kinsoku w:val="1"/>
        <w:wordWrap w:val="0"/>
        <w:overflowPunct w:val="1"/>
        <w:autoSpaceDE w:val="1"/>
        <w:autoSpaceDN w:val="0"/>
        <w:jc w:val="center"/>
        <w:rPr>
          <w:rFonts w:hint="default" w:asciiTheme="minorEastAsia" w:hAnsiTheme="minorEastAsia" w:eastAsiaTheme="minorEastAsia"/>
          <w:sz w:val="24"/>
        </w:rPr>
      </w:pPr>
      <w:r>
        <w:rPr>
          <w:rFonts w:hint="eastAsia" w:asciiTheme="minorEastAsia" w:hAnsiTheme="minorEastAsia" w:eastAsiaTheme="minorEastAsia"/>
          <w:sz w:val="24"/>
        </w:rPr>
        <w:t>上野原市認定地域クラブ活動認定要件確認書</w:t>
      </w:r>
    </w:p>
    <w:p>
      <w:pPr>
        <w:pStyle w:val="0"/>
        <w:kinsoku w:val="1"/>
        <w:wordWrap w:val="0"/>
        <w:overflowPunct w:val="1"/>
        <w:autoSpaceDE w:val="1"/>
        <w:autoSpaceDN w:val="0"/>
        <w:jc w:val="both"/>
        <w:rPr>
          <w:rFonts w:hint="default" w:asciiTheme="minorEastAsia" w:hAnsiTheme="minorEastAsia" w:eastAsiaTheme="minorEastAsia"/>
          <w:sz w:val="24"/>
        </w:rPr>
      </w:pPr>
    </w:p>
    <w:p>
      <w:pPr>
        <w:pStyle w:val="0"/>
        <w:kinsoku w:val="1"/>
        <w:wordWrap w:val="0"/>
        <w:overflowPunct w:val="1"/>
        <w:autoSpaceDE w:val="1"/>
        <w:autoSpaceDN w:val="0"/>
        <w:snapToGrid w:val="0"/>
        <w:ind w:left="709"/>
        <w:jc w:val="both"/>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60325</wp:posOffset>
                </wp:positionH>
                <wp:positionV relativeFrom="paragraph">
                  <wp:posOffset>29845</wp:posOffset>
                </wp:positionV>
                <wp:extent cx="6116955" cy="828675"/>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6116955" cy="828675"/>
                        </a:xfrm>
                        <a:prstGeom prst="rect">
                          <a:avLst/>
                        </a:prstGeom>
                        <a:noFill/>
                        <a:ln w="9525" cap="flat" cmpd="sng" algn="ctr">
                          <a:solidFill>
                            <a:sysClr val="windowText" lastClr="000000"/>
                          </a:solidFill>
                          <a:prstDash val="dash"/>
                        </a:ln>
                        <a:effectLst/>
                      </wps:spPr>
                      <wps:txbx>
                        <w:txbxContent>
                          <w:p>
                            <w:pPr>
                              <w:pStyle w:val="32"/>
                              <w:numPr>
                                <w:ilvl w:val="0"/>
                                <w:numId w:val="1"/>
                              </w:numPr>
                              <w:jc w:val="left"/>
                              <w:rPr>
                                <w:rFonts w:hint="default"/>
                              </w:rPr>
                            </w:pPr>
                            <w:r>
                              <w:rPr>
                                <w:rFonts w:hint="eastAsia" w:ascii="ＭＳ ゴシック" w:hAnsi="ＭＳ ゴシック" w:eastAsia="ＭＳ ゴシック"/>
                                <w:color w:val="000000" w:themeColor="text1"/>
                                <w:sz w:val="22"/>
                              </w:rPr>
                              <w:t>本確認書の内容を審査するため、必要に応じてヒアリングや現地確認、根拠資料の提出等が求められることがあります。</w:t>
                            </w:r>
                          </w:p>
                          <w:p>
                            <w:pPr>
                              <w:pStyle w:val="32"/>
                              <w:numPr>
                                <w:ilvl w:val="0"/>
                                <w:numId w:val="1"/>
                              </w:numPr>
                              <w:jc w:val="left"/>
                              <w:rPr>
                                <w:rFonts w:hint="default"/>
                              </w:rPr>
                            </w:pPr>
                            <w:r>
                              <w:rPr>
                                <w:rFonts w:hint="eastAsia" w:ascii="ＭＳ ゴシック" w:hAnsi="ＭＳ ゴシック" w:eastAsia="ＭＳ ゴシック"/>
                                <w:color w:val="000000" w:themeColor="text1"/>
                                <w:sz w:val="22"/>
                              </w:rPr>
                              <w:t>【誓約・同意事項】各項目のチェック欄（□）に「レ」を入れてください。</w:t>
                            </w:r>
                          </w:p>
                        </w:txbxContent>
                      </wps:txbx>
                      <wps:bodyPr rot="0" vertOverflow="overflow" horzOverflow="overflow" wrap="square" numCol="1" spcCol="0" rtlCol="0" fromWordArt="0" anchor="ctr" anchorCtr="0" forceAA="0" compatLnSpc="1"/>
                    </wps:wsp>
                  </a:graphicData>
                </a:graphic>
              </wp:anchor>
            </w:drawing>
          </mc:Choice>
          <mc:Fallback>
            <w:pict>
              <v:rect id="正方形/長方形 1" style="mso-position-vertical-relative:text;z-index:2;mso-wrap-distance-left:9pt;width:481.65pt;height:65.25pt;mso-position-horizontal-relative:text;position:absolute;margin-left:4.75pt;margin-top:2.35pt;mso-wrap-distance-bottom:0pt;mso-wrap-distance-right:9pt;mso-wrap-distance-top:0pt;v-text-anchor:middle;" o:spid="_x0000_s1026" o:allowincell="t" o:allowoverlap="t" filled="f" stroked="t" strokecolor="#000000" strokeweight="0.75pt" o:spt="1">
                <v:fill/>
                <v:stroke linestyle="single" endcap="flat" dashstyle="dash" filltype="solid"/>
                <v:textbox style="layout-flow:horizontal;">
                  <w:txbxContent>
                    <w:p>
                      <w:pPr>
                        <w:pStyle w:val="32"/>
                        <w:numPr>
                          <w:ilvl w:val="0"/>
                          <w:numId w:val="1"/>
                        </w:numPr>
                        <w:jc w:val="left"/>
                        <w:rPr>
                          <w:rFonts w:hint="default"/>
                        </w:rPr>
                      </w:pPr>
                      <w:r>
                        <w:rPr>
                          <w:rFonts w:hint="eastAsia" w:ascii="ＭＳ ゴシック" w:hAnsi="ＭＳ ゴシック" w:eastAsia="ＭＳ ゴシック"/>
                          <w:color w:val="000000" w:themeColor="text1"/>
                          <w:sz w:val="22"/>
                        </w:rPr>
                        <w:t>本確認書の内容を審査するため、必要に応じてヒアリングや現地確認、根拠資料の提出等が求められることがあります。</w:t>
                      </w:r>
                    </w:p>
                    <w:p>
                      <w:pPr>
                        <w:pStyle w:val="32"/>
                        <w:numPr>
                          <w:ilvl w:val="0"/>
                          <w:numId w:val="1"/>
                        </w:numPr>
                        <w:jc w:val="left"/>
                        <w:rPr>
                          <w:rFonts w:hint="default"/>
                        </w:rPr>
                      </w:pPr>
                      <w:r>
                        <w:rPr>
                          <w:rFonts w:hint="eastAsia" w:ascii="ＭＳ ゴシック" w:hAnsi="ＭＳ ゴシック" w:eastAsia="ＭＳ ゴシック"/>
                          <w:color w:val="000000" w:themeColor="text1"/>
                          <w:sz w:val="22"/>
                        </w:rPr>
                        <w:t>【誓約・同意事項】各項目のチェック欄（□）に「レ」を入れてください。</w:t>
                      </w:r>
                    </w:p>
                  </w:txbxContent>
                </v:textbox>
                <v:imagedata o:title=""/>
                <w10:wrap type="none" anchorx="text" anchory="text"/>
              </v:rect>
            </w:pict>
          </mc:Fallback>
        </mc:AlternateContent>
      </w:r>
    </w:p>
    <w:p>
      <w:pPr>
        <w:pStyle w:val="0"/>
        <w:kinsoku w:val="1"/>
        <w:wordWrap w:val="0"/>
        <w:overflowPunct w:val="1"/>
        <w:autoSpaceDE w:val="1"/>
        <w:autoSpaceDN w:val="0"/>
        <w:snapToGrid w:val="0"/>
        <w:ind w:left="709"/>
        <w:jc w:val="both"/>
        <w:rPr>
          <w:rFonts w:hint="default" w:asciiTheme="minorEastAsia" w:hAnsiTheme="minorEastAsia" w:eastAsiaTheme="minorEastAsia"/>
          <w:sz w:val="24"/>
        </w:rPr>
      </w:pPr>
    </w:p>
    <w:p>
      <w:pPr>
        <w:pStyle w:val="0"/>
        <w:kinsoku w:val="1"/>
        <w:wordWrap w:val="0"/>
        <w:overflowPunct w:val="1"/>
        <w:autoSpaceDE w:val="1"/>
        <w:autoSpaceDN w:val="0"/>
        <w:snapToGrid w:val="0"/>
        <w:ind w:left="709"/>
        <w:jc w:val="both"/>
        <w:rPr>
          <w:rFonts w:hint="default" w:asciiTheme="minorEastAsia" w:hAnsiTheme="minorEastAsia" w:eastAsiaTheme="minorEastAsia"/>
          <w:sz w:val="24"/>
        </w:rPr>
      </w:pPr>
    </w:p>
    <w:p>
      <w:pPr>
        <w:pStyle w:val="0"/>
        <w:kinsoku w:val="1"/>
        <w:wordWrap w:val="0"/>
        <w:overflowPunct w:val="1"/>
        <w:autoSpaceDE w:val="1"/>
        <w:autoSpaceDN w:val="0"/>
        <w:snapToGrid w:val="0"/>
        <w:ind w:left="709"/>
        <w:jc w:val="both"/>
        <w:rPr>
          <w:rFonts w:hint="default" w:asciiTheme="minorEastAsia" w:hAnsiTheme="minorEastAsia" w:eastAsiaTheme="minorEastAsia"/>
          <w:sz w:val="24"/>
        </w:rPr>
      </w:pPr>
    </w:p>
    <w:p>
      <w:pPr>
        <w:pStyle w:val="0"/>
        <w:kinsoku w:val="1"/>
        <w:wordWrap w:val="0"/>
        <w:overflowPunct w:val="1"/>
        <w:autoSpaceDE w:val="1"/>
        <w:autoSpaceDN w:val="0"/>
        <w:snapToGrid w:val="0"/>
        <w:ind w:left="0" w:leftChars="0" w:firstLineChars="0"/>
        <w:jc w:val="both"/>
        <w:rPr>
          <w:rFonts w:hint="default" w:asciiTheme="minorEastAsia" w:hAnsiTheme="minorEastAsia" w:eastAsiaTheme="minorEastAsia"/>
          <w:sz w:val="24"/>
        </w:rPr>
      </w:pPr>
    </w:p>
    <w:p>
      <w:pPr>
        <w:pStyle w:val="0"/>
        <w:kinsoku w:val="1"/>
        <w:wordWrap w:val="0"/>
        <w:overflowPunct w:val="1"/>
        <w:autoSpaceDE w:val="1"/>
        <w:autoSpaceDN w:val="0"/>
        <w:snapToGrid w:val="0"/>
        <w:ind w:left="241" w:hanging="241" w:hangingChars="100"/>
        <w:jc w:val="both"/>
        <w:rPr>
          <w:rFonts w:hint="default" w:asciiTheme="minorEastAsia" w:hAnsiTheme="minorEastAsia" w:eastAsiaTheme="minorEastAsia"/>
          <w:b w:val="1"/>
          <w:sz w:val="24"/>
        </w:rPr>
      </w:pPr>
      <w:r>
        <w:rPr>
          <w:rFonts w:hint="eastAsia" w:asciiTheme="minorEastAsia" w:hAnsiTheme="minorEastAsia" w:eastAsiaTheme="minorEastAsia"/>
          <w:b w:val="1"/>
          <w:sz w:val="24"/>
        </w:rPr>
        <w:t>①「</w:t>
      </w:r>
      <w:r>
        <w:rPr>
          <w:rFonts w:hint="eastAsia" w:asciiTheme="minorEastAsia" w:hAnsiTheme="minorEastAsia" w:eastAsiaTheme="minorEastAsia"/>
          <w:b w:val="1"/>
          <w:color w:val="000000"/>
          <w:spacing w:val="2"/>
          <w:w w:val="100"/>
          <w:sz w:val="24"/>
        </w:rPr>
        <w:t>上野原市立中学校の部活動に係る活動方針</w:t>
      </w:r>
      <w:r>
        <w:rPr>
          <w:rFonts w:hint="eastAsia" w:asciiTheme="minorEastAsia" w:hAnsiTheme="minorEastAsia" w:eastAsiaTheme="minorEastAsia"/>
          <w:b w:val="1"/>
          <w:sz w:val="24"/>
        </w:rPr>
        <w:t>」に準じた活動であるとともに、</w:t>
      </w:r>
      <w:r>
        <w:rPr>
          <w:rFonts w:hint="default" w:asciiTheme="minorEastAsia" w:hAnsiTheme="minorEastAsia" w:eastAsiaTheme="minorEastAsia"/>
          <w:b w:val="1"/>
          <w:sz w:val="24"/>
        </w:rPr>
        <w:t>学校部活動が担ってきた教育的意義を継承・発展させた活動であり、生徒が身近な地域で希望する活動に主体的に参加できるようにすることで、豊かで幅広い活動機会の保障に寄与するものであること</w:t>
      </w:r>
    </w:p>
    <w:p>
      <w:pPr>
        <w:pStyle w:val="32"/>
        <w:numPr>
          <w:ilvl w:val="0"/>
          <w:numId w:val="2"/>
        </w:numPr>
        <w:kinsoku w:val="1"/>
        <w:wordWrap w:val="0"/>
        <w:overflowPunct w:val="1"/>
        <w:autoSpaceDE w:val="1"/>
        <w:autoSpaceDN w:val="0"/>
        <w:snapToGrid w:val="0"/>
        <w:spacing w:line="240" w:lineRule="atLeast"/>
        <w:ind w:left="709" w:hanging="442"/>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生徒</w:t>
      </w:r>
      <w:r>
        <w:rPr>
          <w:rFonts w:hint="eastAsia" w:asciiTheme="minorEastAsia" w:hAnsiTheme="minorEastAsia" w:eastAsiaTheme="minorEastAsia"/>
          <w:w w:val="85"/>
          <w:sz w:val="24"/>
          <w:fitText w:val="240" w:id="1"/>
          <w:vertAlign w:val="superscript"/>
        </w:rPr>
        <w:t>※１</w:t>
      </w:r>
      <w:r>
        <w:rPr>
          <w:rFonts w:hint="eastAsia" w:asciiTheme="minorEastAsia" w:hAnsiTheme="minorEastAsia" w:eastAsiaTheme="minorEastAsia"/>
          <w:sz w:val="24"/>
        </w:rPr>
        <w:t>の自主的・主体的な参加による活動</w:t>
      </w:r>
      <w:r>
        <w:rPr>
          <w:rFonts w:hint="eastAsia" w:asciiTheme="minorEastAsia" w:hAnsiTheme="minorEastAsia" w:eastAsiaTheme="minorEastAsia"/>
          <w:w w:val="85"/>
          <w:sz w:val="24"/>
          <w:fitText w:val="240" w:id="2"/>
          <w:vertAlign w:val="superscript"/>
        </w:rPr>
        <w:t>※２</w:t>
      </w:r>
      <w:r>
        <w:rPr>
          <w:rFonts w:hint="eastAsia" w:asciiTheme="minorEastAsia" w:hAnsiTheme="minorEastAsia" w:eastAsiaTheme="minorEastAsia"/>
          <w:sz w:val="24"/>
        </w:rPr>
        <w:t>であり、競技性や成果のみに偏重するのではなく、生徒が継続的にスポーツ・文化芸術</w:t>
      </w:r>
      <w:bookmarkStart w:id="0" w:name="_GoBack"/>
      <w:bookmarkEnd w:id="0"/>
      <w:r>
        <w:rPr>
          <w:rFonts w:hint="eastAsia" w:asciiTheme="minorEastAsia" w:hAnsiTheme="minorEastAsia" w:eastAsiaTheme="minorEastAsia"/>
          <w:sz w:val="24"/>
        </w:rPr>
        <w:t>活動に親しむ機会を確保し、生涯にわたってスポーツや文化芸術を楽しみ、豊かに関わるために必要な資質・能力等を育てることを目指した活動であること</w:t>
      </w:r>
    </w:p>
    <w:p>
      <w:pPr>
        <w:pStyle w:val="32"/>
        <w:numPr>
          <w:ilvl w:val="0"/>
          <w:numId w:val="2"/>
        </w:numPr>
        <w:kinsoku w:val="1"/>
        <w:wordWrap w:val="0"/>
        <w:overflowPunct w:val="1"/>
        <w:autoSpaceDE w:val="1"/>
        <w:autoSpaceDN w:val="0"/>
        <w:snapToGrid w:val="0"/>
        <w:spacing w:line="240" w:lineRule="atLeast"/>
        <w:ind w:left="709" w:hanging="442"/>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生徒の心身の成長に配慮して健康に生活を送れるよう、週２日以上の休養日を設定し、活動時間は、平日は１日２時間程度以内、休日は１日３時間程度以内とし、週当たりの活動時間は</w:t>
      </w:r>
      <w:r>
        <w:rPr>
          <w:rFonts w:hint="default" w:asciiTheme="minorEastAsia" w:hAnsiTheme="minorEastAsia" w:eastAsiaTheme="minorEastAsia"/>
          <w:sz w:val="24"/>
        </w:rPr>
        <w:t>１１時間程度の範囲内とすること。その上で、できるだけ短時間で合理的かつ効率的・効果的な活動となっていること</w:t>
      </w:r>
      <w:r>
        <w:rPr>
          <w:rFonts w:hint="eastAsia" w:asciiTheme="minorEastAsia" w:hAnsiTheme="minorEastAsia" w:eastAsiaTheme="minorEastAsia"/>
          <w:w w:val="85"/>
          <w:sz w:val="24"/>
          <w:fitText w:val="240" w:id="3"/>
          <w:vertAlign w:val="superscript"/>
        </w:rPr>
        <w:t>※３</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※１　中学校等の生徒を主な対象とするが、小学生や高校生、大人等と一緒に活動する多世代の取組を排除するものではない。以下同じ。</w:t>
      </w:r>
    </w:p>
    <w:p>
      <w:pPr>
        <w:pStyle w:val="32"/>
        <w:numPr>
          <w:numId w:val="0"/>
        </w:numPr>
        <w:kinsoku w:val="1"/>
        <w:wordWrap w:val="0"/>
        <w:overflowPunct w:val="1"/>
        <w:autoSpaceDE w:val="1"/>
        <w:autoSpaceDN w:val="0"/>
        <w:snapToGrid w:val="0"/>
        <w:spacing w:line="240" w:lineRule="atLeast"/>
        <w:ind w:left="1050" w:leftChars="200" w:hanging="630" w:hangingChars="300"/>
        <w:contextualSpacing w:val="0"/>
        <w:jc w:val="both"/>
        <w:rPr>
          <w:rFonts w:hint="default" w:asciiTheme="minorEastAsia" w:hAnsiTheme="minorEastAsia" w:eastAsiaTheme="minorEastAsia"/>
          <w:sz w:val="24"/>
        </w:rPr>
      </w:pPr>
      <w:r>
        <w:rPr>
          <w:rFonts w:hint="eastAsia" w:asciiTheme="minorEastAsia" w:hAnsiTheme="minorEastAsia" w:eastAsiaTheme="minorEastAsia"/>
        </w:rPr>
        <w:t>※２　児童・生徒へのアンケート調査や生徒によるワークショップ、生徒による活動目標・活動計画の話し合いなど生徒のニーズや意見等が反映される仕組みを設けるとともに、生徒のニーズに応じた多種多様なプログラムを提供することが期待される。</w:t>
      </w:r>
    </w:p>
    <w:p>
      <w:pPr>
        <w:pStyle w:val="32"/>
        <w:numPr>
          <w:numId w:val="0"/>
        </w:numPr>
        <w:kinsoku w:val="1"/>
        <w:wordWrap w:val="0"/>
        <w:overflowPunct w:val="1"/>
        <w:autoSpaceDE w:val="1"/>
        <w:autoSpaceDN w:val="0"/>
        <w:snapToGrid w:val="0"/>
        <w:spacing w:line="240" w:lineRule="atLeast"/>
        <w:ind w:left="1050" w:leftChars="200" w:hanging="630" w:hangingChars="300"/>
        <w:contextualSpacing w:val="0"/>
        <w:jc w:val="both"/>
        <w:rPr>
          <w:rFonts w:hint="default" w:asciiTheme="minorEastAsia" w:hAnsiTheme="minorEastAsia" w:eastAsiaTheme="minorEastAsia"/>
          <w:sz w:val="24"/>
        </w:rPr>
      </w:pPr>
      <w:r>
        <w:rPr>
          <w:rFonts w:hint="eastAsia" w:asciiTheme="minorEastAsia" w:hAnsiTheme="minorEastAsia" w:eastAsiaTheme="minorEastAsia"/>
        </w:rPr>
        <w:t>※３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Pr>
          <w:rFonts w:hint="default" w:asciiTheme="minorEastAsia" w:hAnsiTheme="minorEastAsia" w:eastAsiaTheme="minorEastAsia"/>
        </w:rPr>
        <w:t>　１１　時間程度の範囲内に収まり、かつ、週２日以上の休養日が設けられるのであれば、平日の活動を週３日以内に抑えつつ休日に２日間連続して活動を行うなど、柔軟な対応を行うことも可能。</w:t>
      </w:r>
    </w:p>
    <w:p>
      <w:pPr>
        <w:pStyle w:val="32"/>
        <w:numPr>
          <w:numId w:val="0"/>
        </w:numPr>
        <w:kinsoku w:val="1"/>
        <w:wordWrap w:val="0"/>
        <w:overflowPunct w:val="1"/>
        <w:autoSpaceDE w:val="1"/>
        <w:autoSpaceDN w:val="0"/>
        <w:snapToGrid w:val="0"/>
        <w:spacing w:line="240" w:lineRule="atLeast"/>
        <w:ind w:left="0" w:leftChars="0" w:hanging="240" w:hangingChars="100"/>
        <w:contextualSpacing w:val="0"/>
        <w:jc w:val="both"/>
        <w:rPr>
          <w:rFonts w:hint="default" w:asciiTheme="minorEastAsia" w:hAnsiTheme="minorEastAsia" w:eastAsiaTheme="minorEastAsia"/>
          <w:sz w:val="24"/>
        </w:rPr>
      </w:pPr>
      <w:r>
        <w:rPr>
          <w:rFonts w:hint="eastAsia" w:asciiTheme="minorEastAsia" w:hAnsiTheme="minorEastAsia" w:eastAsiaTheme="minorEastAsia"/>
          <w:b w:val="1"/>
          <w:sz w:val="24"/>
        </w:rPr>
        <w:t>②</w:t>
      </w:r>
      <w:r>
        <w:rPr>
          <w:rFonts w:hint="eastAsia" w:ascii="Times New Roman" w:hAnsi="Times New Roman" w:eastAsia="ＭＳ 明朝"/>
          <w:b w:val="1"/>
          <w:color w:val="000000"/>
          <w:spacing w:val="0"/>
          <w:w w:val="100"/>
          <w:sz w:val="24"/>
        </w:rPr>
        <w:t>上野原市内の中学校に在籍する生徒を主な対象とした活動であり</w:t>
      </w:r>
      <w:r>
        <w:rPr>
          <w:rFonts w:hint="eastAsia" w:eastAsia="ＭＳ 明朝"/>
          <w:b w:val="1"/>
          <w:color w:val="000000"/>
          <w:spacing w:val="0"/>
          <w:w w:val="100"/>
          <w:sz w:val="24"/>
        </w:rPr>
        <w:t>、</w:t>
      </w:r>
      <w:r>
        <w:rPr>
          <w:rFonts w:hint="eastAsia" w:ascii="Times New Roman" w:hAnsi="Times New Roman" w:eastAsia="ＭＳ 明朝"/>
          <w:b w:val="1"/>
          <w:color w:val="000000"/>
          <w:spacing w:val="0"/>
          <w:w w:val="100"/>
          <w:sz w:val="24"/>
        </w:rPr>
        <w:t>選抜等を行わず</w:t>
      </w:r>
      <w:r>
        <w:rPr>
          <w:rFonts w:hint="eastAsia" w:eastAsia="ＭＳ 明朝"/>
          <w:b w:val="1"/>
          <w:color w:val="000000"/>
          <w:spacing w:val="0"/>
          <w:w w:val="100"/>
          <w:sz w:val="24"/>
        </w:rPr>
        <w:t>、</w:t>
      </w:r>
      <w:r>
        <w:rPr>
          <w:rFonts w:hint="eastAsia" w:ascii="Times New Roman" w:hAnsi="Times New Roman" w:eastAsia="ＭＳ 明朝"/>
          <w:b w:val="1"/>
          <w:color w:val="000000"/>
          <w:spacing w:val="0"/>
          <w:w w:val="100"/>
          <w:sz w:val="24"/>
        </w:rPr>
        <w:t>参加を希望する生徒を広く受け入れること</w:t>
      </w:r>
    </w:p>
    <w:p>
      <w:pPr>
        <w:pStyle w:val="32"/>
        <w:numPr>
          <w:ilvl w:val="0"/>
          <w:numId w:val="2"/>
        </w:numPr>
        <w:kinsoku w:val="1"/>
        <w:wordWrap w:val="0"/>
        <w:overflowPunct w:val="1"/>
        <w:autoSpaceDE w:val="1"/>
        <w:autoSpaceDN w:val="0"/>
        <w:snapToGrid w:val="0"/>
        <w:ind w:left="709"/>
        <w:contextualSpacing w:val="0"/>
        <w:jc w:val="both"/>
        <w:rPr>
          <w:rFonts w:hint="default" w:asciiTheme="minorEastAsia" w:hAnsiTheme="minorEastAsia" w:eastAsiaTheme="minorEastAsia"/>
          <w:color w:val="000000" w:themeColor="text1"/>
          <w:sz w:val="24"/>
        </w:rPr>
      </w:pPr>
      <w:r>
        <w:rPr>
          <w:rFonts w:hint="eastAsia" w:ascii="Times New Roman" w:hAnsi="Times New Roman" w:eastAsia="ＭＳ 明朝"/>
          <w:color w:val="000000" w:themeColor="text1"/>
          <w:spacing w:val="0"/>
          <w:w w:val="100"/>
          <w:sz w:val="24"/>
        </w:rPr>
        <w:t>上野原市内の中学校に在籍する生徒を主な対象とした活動で</w:t>
      </w:r>
      <w:r>
        <w:rPr>
          <w:rFonts w:hint="eastAsia" w:asciiTheme="minorEastAsia" w:hAnsiTheme="minorEastAsia" w:eastAsiaTheme="minorEastAsia"/>
          <w:color w:val="000000" w:themeColor="text1"/>
          <w:sz w:val="24"/>
        </w:rPr>
        <w:t>あること</w:t>
      </w:r>
    </w:p>
    <w:p>
      <w:pPr>
        <w:pStyle w:val="32"/>
        <w:numPr>
          <w:ilvl w:val="0"/>
          <w:numId w:val="2"/>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imes New Roman" w:hAnsi="Times New Roman" w:eastAsia="ＭＳ 明朝"/>
          <w:color w:val="000000"/>
          <w:spacing w:val="0"/>
          <w:w w:val="100"/>
          <w:sz w:val="24"/>
        </w:rPr>
        <w:t>競技力強化等の観点から選抜等を行わず</w:t>
      </w:r>
      <w:r>
        <w:rPr>
          <w:rFonts w:hint="eastAsia" w:eastAsia="ＭＳ 明朝"/>
          <w:color w:val="000000"/>
          <w:spacing w:val="0"/>
          <w:w w:val="100"/>
          <w:sz w:val="24"/>
        </w:rPr>
        <w:t>、</w:t>
      </w:r>
      <w:r>
        <w:rPr>
          <w:rFonts w:hint="eastAsia" w:ascii="Times New Roman" w:hAnsi="Times New Roman" w:eastAsia="ＭＳ 明朝"/>
          <w:color w:val="000000"/>
          <w:spacing w:val="0"/>
          <w:w w:val="100"/>
          <w:sz w:val="24"/>
        </w:rPr>
        <w:t>広域から生徒を集めるものではないこと</w:t>
      </w:r>
    </w:p>
    <w:p>
      <w:pPr>
        <w:pStyle w:val="32"/>
        <w:numPr>
          <w:ilvl w:val="0"/>
          <w:numId w:val="2"/>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参加を希望する生徒を広く受け入れること</w:t>
      </w:r>
      <w:r>
        <w:rPr>
          <w:rFonts w:hint="eastAsia" w:asciiTheme="minorEastAsia" w:hAnsiTheme="minorEastAsia" w:eastAsiaTheme="minorEastAsia"/>
          <w:w w:val="85"/>
          <w:sz w:val="24"/>
          <w:fitText w:val="240" w:id="4"/>
          <w:vertAlign w:val="superscript"/>
        </w:rPr>
        <w:t>※１</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※１　部活動の地域展開は、障害のある生徒や運動が苦手な生徒等を含め、全ての生徒が希望に応じて多種多様な活動に参加できる環境を整備することを理念としており、そのことを十分に踏まえて対応すること。</w:t>
      </w:r>
    </w:p>
    <w:p>
      <w:pPr>
        <w:pStyle w:val="0"/>
        <w:kinsoku w:val="1"/>
        <w:wordWrap w:val="0"/>
        <w:overflowPunct w:val="1"/>
        <w:autoSpaceDE w:val="1"/>
        <w:autoSpaceDN w:val="0"/>
        <w:snapToGrid w:val="0"/>
        <w:ind w:left="241" w:hanging="241" w:hangingChars="100"/>
        <w:jc w:val="both"/>
        <w:rPr>
          <w:rFonts w:hint="default" w:asciiTheme="minorEastAsia" w:hAnsiTheme="minorEastAsia" w:eastAsiaTheme="minorEastAsia"/>
          <w:b w:val="1"/>
          <w:sz w:val="24"/>
        </w:rPr>
      </w:pPr>
      <w:r>
        <w:rPr>
          <w:rFonts w:hint="eastAsia" w:asciiTheme="minorEastAsia" w:hAnsiTheme="minorEastAsia" w:eastAsiaTheme="minorEastAsia"/>
          <w:b w:val="1"/>
          <w:sz w:val="24"/>
        </w:rPr>
        <w:t>③活動の維持・運営に必要な範囲で、可能な限り低廉な参加費等（参加費、保険料等その他の活動に参加するための</w:t>
      </w:r>
      <w:r>
        <w:rPr>
          <w:rFonts w:hint="eastAsia" w:asciiTheme="minorEastAsia" w:hAnsiTheme="minorEastAsia" w:eastAsiaTheme="minorEastAsia"/>
          <w:b w:val="1"/>
          <w:color w:val="FF0000"/>
          <w:sz w:val="24"/>
        </w:rPr>
        <w:t>、</w:t>
      </w:r>
      <w:r>
        <w:rPr>
          <w:rFonts w:hint="eastAsia" w:asciiTheme="minorEastAsia" w:hAnsiTheme="minorEastAsia" w:eastAsiaTheme="minorEastAsia"/>
          <w:b w:val="1"/>
          <w:sz w:val="24"/>
        </w:rPr>
        <w:t>生徒が負担する費用をいう。）が設定されていること</w:t>
      </w:r>
    </w:p>
    <w:p>
      <w:pPr>
        <w:pStyle w:val="32"/>
        <w:numPr>
          <w:ilvl w:val="0"/>
          <w:numId w:val="3"/>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国が示す参加費等の金額の目安を踏まえつつ、地域の実情や競技種目等の特性等に応じて、地域クラブ活動を持続的・安定的に運営していくために必要な範囲で、可能な限り低廉な参加費等が設定されていること</w:t>
      </w:r>
    </w:p>
    <w:p>
      <w:pPr>
        <w:pStyle w:val="0"/>
        <w:kinsoku w:val="1"/>
        <w:wordWrap w:val="0"/>
        <w:overflowPunct w:val="1"/>
        <w:autoSpaceDE w:val="1"/>
        <w:autoSpaceDN w:val="0"/>
        <w:snapToGrid w:val="0"/>
        <w:jc w:val="both"/>
        <w:rPr>
          <w:rFonts w:hint="default" w:asciiTheme="minorEastAsia" w:hAnsiTheme="minorEastAsia" w:eastAsiaTheme="minorEastAsia"/>
          <w:b w:val="1"/>
          <w:sz w:val="24"/>
        </w:rPr>
      </w:pPr>
      <w:r>
        <w:rPr>
          <w:rFonts w:hint="eastAsia" w:asciiTheme="minorEastAsia" w:hAnsiTheme="minorEastAsia" w:eastAsiaTheme="minorEastAsia"/>
          <w:b w:val="1"/>
          <w:sz w:val="24"/>
        </w:rPr>
        <w:t>④</w:t>
      </w:r>
      <w:r>
        <w:rPr>
          <w:rFonts w:hint="default" w:asciiTheme="minorEastAsia" w:hAnsiTheme="minorEastAsia" w:eastAsiaTheme="minorEastAsia"/>
          <w:b w:val="1"/>
          <w:sz w:val="24"/>
        </w:rPr>
        <w:t>　適切な指導の実施体制が確保されていること</w:t>
      </w:r>
    </w:p>
    <w:p>
      <w:pPr>
        <w:pStyle w:val="32"/>
        <w:numPr>
          <w:ilvl w:val="0"/>
          <w:numId w:val="3"/>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地域クラブ活動において</w:t>
      </w:r>
      <w:r>
        <w:rPr>
          <w:rFonts w:hint="eastAsia" w:asciiTheme="minorEastAsia" w:hAnsiTheme="minorEastAsia" w:eastAsiaTheme="minorEastAsia"/>
          <w:color w:val="FF0000"/>
          <w:sz w:val="24"/>
        </w:rPr>
        <w:t>、</w:t>
      </w:r>
      <w:r>
        <w:rPr>
          <w:rFonts w:hint="eastAsia" w:asciiTheme="minorEastAsia" w:hAnsiTheme="minorEastAsia" w:eastAsiaTheme="minorEastAsia"/>
          <w:sz w:val="24"/>
        </w:rPr>
        <w:t>指導や指導補助、見守り等を行う人材（以下「指導人材」という。）が、暴力・暴言・ハラスメント、いじめ、無視等の行為は、許されない行為であることを理解し、自らこうした行為を行わないとともに、参加生徒同士のこうした行為も許さないことを誓約すること</w:t>
      </w:r>
    </w:p>
    <w:p>
      <w:pPr>
        <w:pStyle w:val="32"/>
        <w:numPr>
          <w:ilvl w:val="0"/>
          <w:numId w:val="3"/>
        </w:numPr>
        <w:kinsoku w:val="1"/>
        <w:wordWrap w:val="0"/>
        <w:overflowPunct w:val="1"/>
        <w:autoSpaceDE w:val="1"/>
        <w:autoSpaceDN w:val="0"/>
        <w:snapToGrid w:val="0"/>
        <w:ind w:left="709"/>
        <w:contextualSpacing w:val="0"/>
        <w:jc w:val="both"/>
        <w:rPr>
          <w:rFonts w:hint="default" w:asciiTheme="minorEastAsia" w:hAnsiTheme="minorEastAsia" w:eastAsiaTheme="minorEastAsia"/>
          <w:b w:val="1"/>
          <w:sz w:val="24"/>
        </w:rPr>
      </w:pPr>
      <w:r>
        <w:rPr>
          <w:rFonts w:hint="eastAsia" w:asciiTheme="minorEastAsia" w:hAnsiTheme="minorEastAsia" w:eastAsiaTheme="minorEastAsia"/>
          <w:b w:val="0"/>
          <w:sz w:val="24"/>
        </w:rPr>
        <w:t>上野原市教育委員会が定める研修を受講し、上野原市教育委員会に登録された指導人材が活動に携わること</w:t>
      </w:r>
    </w:p>
    <w:p>
      <w:pPr>
        <w:pStyle w:val="32"/>
        <w:numPr>
          <w:ilvl w:val="0"/>
          <w:numId w:val="3"/>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持続的・安定的な活動を確保するとともに、事故や暴力・暴言・ハラスメント等の不適切行為を防止する観点から、原則として、複数の指導人材が携わること</w:t>
      </w:r>
      <w:r>
        <w:rPr>
          <w:rFonts w:hint="eastAsia" w:asciiTheme="minorEastAsia" w:hAnsiTheme="minorEastAsia" w:eastAsiaTheme="minorEastAsia"/>
          <w:w w:val="85"/>
          <w:sz w:val="24"/>
          <w:fitText w:val="240" w:id="5"/>
          <w:vertAlign w:val="superscript"/>
        </w:rPr>
        <w:t>※１</w:t>
      </w:r>
    </w:p>
    <w:p>
      <w:pPr>
        <w:pStyle w:val="0"/>
        <w:kinsoku w:val="1"/>
        <w:wordWrap w:val="0"/>
        <w:overflowPunct w:val="1"/>
        <w:autoSpaceDE w:val="1"/>
        <w:autoSpaceDN w:val="0"/>
        <w:snapToGrid w:val="0"/>
        <w:spacing w:line="26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※１　複数の指導人材が活動に携わることが困難な場合には、上野原市等の職員・コーディネーターや運営団体の職員等による地域クラブ活動の実施主体への巡回指導を適切に実施すること等により、事故防止や暴力・暴言・ハラスメント等の不適切行為の防止を図ること。</w:t>
      </w:r>
    </w:p>
    <w:p>
      <w:pPr>
        <w:pStyle w:val="0"/>
        <w:kinsoku w:val="1"/>
        <w:wordWrap w:val="0"/>
        <w:overflowPunct w:val="1"/>
        <w:autoSpaceDE w:val="1"/>
        <w:autoSpaceDN w:val="0"/>
        <w:snapToGrid w:val="0"/>
        <w:jc w:val="both"/>
        <w:rPr>
          <w:rFonts w:hint="default" w:asciiTheme="minorEastAsia" w:hAnsiTheme="minorEastAsia" w:eastAsiaTheme="minorEastAsia"/>
          <w:b w:val="1"/>
          <w:sz w:val="24"/>
        </w:rPr>
      </w:pPr>
      <w:r>
        <w:rPr>
          <w:rFonts w:hint="eastAsia" w:asciiTheme="minorEastAsia" w:hAnsiTheme="minorEastAsia" w:eastAsiaTheme="minorEastAsia"/>
          <w:b w:val="1"/>
          <w:sz w:val="24"/>
        </w:rPr>
        <w:t>⑤</w:t>
      </w:r>
      <w:r>
        <w:rPr>
          <w:rFonts w:hint="default" w:asciiTheme="minorEastAsia" w:hAnsiTheme="minorEastAsia" w:eastAsiaTheme="minorEastAsia"/>
          <w:b w:val="1"/>
          <w:sz w:val="24"/>
        </w:rPr>
        <w:t>　適切な安全確保の体制が確保されていること</w:t>
      </w:r>
    </w:p>
    <w:p>
      <w:pPr>
        <w:pStyle w:val="32"/>
        <w:numPr>
          <w:ilvl w:val="0"/>
          <w:numId w:val="4"/>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生徒の発達段階や健康の状態、気温や湿度、暑さ指数（</w:t>
      </w:r>
      <w:r>
        <w:rPr>
          <w:rFonts w:hint="default" w:asciiTheme="minorEastAsia" w:hAnsiTheme="minorEastAsia" w:eastAsiaTheme="minorEastAsia"/>
          <w:sz w:val="24"/>
        </w:rPr>
        <w:t>ＷＢＧＴ）等の環境を考慮のうえ、適切な指導内容や活動時間、休息時間、水分補給の機会等を設定するとともに、活動場所の管理主体と連携した施設・設備・用具の点検等を行い、事故防止を徹底すること</w:t>
      </w:r>
    </w:p>
    <w:p>
      <w:pPr>
        <w:pStyle w:val="32"/>
        <w:numPr>
          <w:ilvl w:val="0"/>
          <w:numId w:val="4"/>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上野原市教育委員会、地域クラブ活動の団体、活動場所の管理主体等との間で、あらかじめ、事故等が発生した場合の対応や責任関係等を明確化していること</w:t>
      </w:r>
    </w:p>
    <w:p>
      <w:pPr>
        <w:pStyle w:val="32"/>
        <w:numPr>
          <w:ilvl w:val="0"/>
          <w:numId w:val="4"/>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保護者や関係機関への緊急時の連絡体制の整備等を行い、事故発生時の対応を適切に行うこと</w:t>
      </w:r>
    </w:p>
    <w:p>
      <w:pPr>
        <w:pStyle w:val="32"/>
        <w:numPr>
          <w:ilvl w:val="0"/>
          <w:numId w:val="4"/>
        </w:numPr>
        <w:kinsoku w:val="1"/>
        <w:wordWrap w:val="0"/>
        <w:overflowPunct w:val="1"/>
        <w:autoSpaceDE w:val="1"/>
        <w:autoSpaceDN w:val="0"/>
        <w:snapToGrid w:val="0"/>
        <w:ind w:left="709"/>
        <w:contextualSpacing w:val="0"/>
        <w:jc w:val="both"/>
        <w:rPr>
          <w:rFonts w:hint="default" w:asciiTheme="minorEastAsia" w:hAnsiTheme="minorEastAsia" w:eastAsiaTheme="minorEastAsia"/>
          <w:b w:val="1"/>
          <w:sz w:val="24"/>
        </w:rPr>
      </w:pPr>
      <w:r>
        <w:rPr>
          <w:rFonts w:hint="eastAsia" w:asciiTheme="minorEastAsia" w:hAnsiTheme="minorEastAsia" w:eastAsiaTheme="minorEastAsia"/>
          <w:sz w:val="24"/>
        </w:rPr>
        <w:t>参加者及び指導人材が、自身の怪我等を補償する保険や個人賠償責任保険に加入していること</w:t>
      </w:r>
    </w:p>
    <w:p>
      <w:pPr>
        <w:pStyle w:val="0"/>
        <w:kinsoku w:val="1"/>
        <w:wordWrap w:val="0"/>
        <w:overflowPunct w:val="1"/>
        <w:autoSpaceDE w:val="1"/>
        <w:autoSpaceDN w:val="0"/>
        <w:snapToGrid w:val="0"/>
        <w:jc w:val="both"/>
        <w:rPr>
          <w:rFonts w:hint="default" w:asciiTheme="minorEastAsia" w:hAnsiTheme="minorEastAsia" w:eastAsiaTheme="minorEastAsia"/>
          <w:b w:val="1"/>
          <w:sz w:val="24"/>
        </w:rPr>
      </w:pPr>
      <w:r>
        <w:rPr>
          <w:rFonts w:hint="eastAsia" w:asciiTheme="minorEastAsia" w:hAnsiTheme="minorEastAsia" w:eastAsiaTheme="minorEastAsia"/>
          <w:b w:val="1"/>
          <w:sz w:val="24"/>
        </w:rPr>
        <w:t>⑥</w:t>
      </w:r>
      <w:r>
        <w:rPr>
          <w:rFonts w:hint="default" w:asciiTheme="minorEastAsia" w:hAnsiTheme="minorEastAsia" w:eastAsiaTheme="minorEastAsia"/>
          <w:b w:val="1"/>
          <w:sz w:val="24"/>
        </w:rPr>
        <w:t>　適切な運営体制が確保されていること</w:t>
      </w:r>
    </w:p>
    <w:p>
      <w:pPr>
        <w:pStyle w:val="32"/>
        <w:numPr>
          <w:ilvl w:val="0"/>
          <w:numId w:val="5"/>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次の内容を含む規約等</w:t>
      </w:r>
      <w:r>
        <w:rPr>
          <w:rFonts w:hint="eastAsia" w:asciiTheme="minorEastAsia" w:hAnsiTheme="minorEastAsia" w:eastAsiaTheme="minorEastAsia"/>
          <w:sz w:val="24"/>
          <w:vertAlign w:val="superscript"/>
        </w:rPr>
        <w:t>※１</w:t>
      </w:r>
      <w:r>
        <w:rPr>
          <w:rFonts w:hint="eastAsia" w:asciiTheme="minorEastAsia" w:hAnsiTheme="minorEastAsia" w:eastAsiaTheme="minorEastAsia"/>
          <w:sz w:val="24"/>
        </w:rPr>
        <w:t>を作成・公表していること。また、関係法令を遵守するとともに、規約等に基づき適切な運営が行われていること</w:t>
      </w:r>
      <w:r>
        <w:rPr>
          <w:rFonts w:hint="eastAsia" w:asciiTheme="minorEastAsia" w:hAnsiTheme="minorEastAsia" w:eastAsiaTheme="minorEastAsia"/>
          <w:sz w:val="24"/>
          <w:vertAlign w:val="superscript"/>
        </w:rPr>
        <w:t>※２</w:t>
      </w:r>
    </w:p>
    <w:p>
      <w:pPr>
        <w:pStyle w:val="32"/>
        <w:numPr>
          <w:ilvl w:val="1"/>
          <w:numId w:val="6"/>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団体の目的</w:t>
      </w:r>
    </w:p>
    <w:p>
      <w:pPr>
        <w:pStyle w:val="32"/>
        <w:numPr>
          <w:ilvl w:val="1"/>
          <w:numId w:val="6"/>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役員（代表、副代表、会計、監事</w:t>
      </w:r>
      <w:r>
        <w:rPr>
          <w:rFonts w:hint="eastAsia" w:asciiTheme="minorEastAsia" w:hAnsiTheme="minorEastAsia" w:eastAsiaTheme="minorEastAsia"/>
          <w:sz w:val="24"/>
          <w:vertAlign w:val="superscript"/>
        </w:rPr>
        <w:t>※３</w:t>
      </w:r>
      <w:r>
        <w:rPr>
          <w:rFonts w:hint="eastAsia" w:asciiTheme="minorEastAsia" w:hAnsiTheme="minorEastAsia" w:eastAsiaTheme="minorEastAsia"/>
          <w:sz w:val="24"/>
        </w:rPr>
        <w:t>）の選任・解任に関すること</w:t>
      </w:r>
    </w:p>
    <w:p>
      <w:pPr>
        <w:pStyle w:val="32"/>
        <w:numPr>
          <w:ilvl w:val="1"/>
          <w:numId w:val="6"/>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総会の運営など団体の意思決定に関すること</w:t>
      </w:r>
    </w:p>
    <w:p>
      <w:pPr>
        <w:pStyle w:val="32"/>
        <w:numPr>
          <w:ilvl w:val="1"/>
          <w:numId w:val="6"/>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会員の入退会、参加費等に関すること</w:t>
      </w:r>
    </w:p>
    <w:p>
      <w:pPr>
        <w:pStyle w:val="32"/>
        <w:numPr>
          <w:ilvl w:val="1"/>
          <w:numId w:val="6"/>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予算・決算の審議・承認に関すること</w:t>
      </w:r>
    </w:p>
    <w:p>
      <w:pPr>
        <w:pStyle w:val="32"/>
        <w:numPr>
          <w:ilvl w:val="0"/>
          <w:numId w:val="5"/>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公正かつ適切な会計処理が行われ、透明性を確保するために関係者に対する情報開示が適切に行われていること</w:t>
      </w:r>
    </w:p>
    <w:p>
      <w:pPr>
        <w:pStyle w:val="32"/>
        <w:numPr>
          <w:ilvl w:val="0"/>
          <w:numId w:val="5"/>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営利を主たる目的とせずに運営すること</w:t>
      </w:r>
      <w:r>
        <w:rPr>
          <w:rFonts w:hint="eastAsia" w:asciiTheme="minorEastAsia" w:hAnsiTheme="minorEastAsia" w:eastAsiaTheme="minorEastAsia"/>
          <w:sz w:val="24"/>
          <w:vertAlign w:val="superscript"/>
        </w:rPr>
        <w:t>※４</w:t>
      </w:r>
    </w:p>
    <w:p>
      <w:pPr>
        <w:pStyle w:val="32"/>
        <w:numPr>
          <w:ilvl w:val="0"/>
          <w:numId w:val="5"/>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大会・コンクールに参加する場合には、その運営に積極的に協力すること</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※１　運営団体・実施主体を全体として評価し、実質的に適切な運営体制が確保されていれば差し支えない。</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※２　日本スポーツ協会の総合型地域スポーツクラブ登録制度の登録クラブの場合には、確認事項の一部を満たしていると判断する。</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※３　団体の持続的・安定的な運営を確保するとともに、適切なガバナンスを確保する観点から、原則として、代表、副代表、会計及び監事は、互いに兼ねることはできない。地域の実情等により役員を確保することが困難な場合等の例外的な場合にも、監事は、代表、副代表、会計を兼ねることはできない。</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※４　上野原市教育委員会が運営団体・実施主体となり地域クラブ活動を実施する場合において、上野原市教育委員会が事業者等に委託して地域クラブ活動を実施する場合は、本確認事項は適用しない。</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p>
    <w:p>
      <w:pPr>
        <w:pStyle w:val="0"/>
        <w:kinsoku w:val="1"/>
        <w:wordWrap w:val="0"/>
        <w:overflowPunct w:val="1"/>
        <w:autoSpaceDE w:val="1"/>
        <w:autoSpaceDN w:val="0"/>
        <w:snapToGrid w:val="0"/>
        <w:jc w:val="both"/>
        <w:rPr>
          <w:rFonts w:hint="default" w:asciiTheme="minorEastAsia" w:hAnsiTheme="minorEastAsia" w:eastAsiaTheme="minorEastAsia"/>
          <w:b w:val="1"/>
          <w:sz w:val="24"/>
        </w:rPr>
      </w:pPr>
      <w:r>
        <w:rPr>
          <w:rFonts w:hint="eastAsia" w:asciiTheme="minorEastAsia" w:hAnsiTheme="minorEastAsia" w:eastAsiaTheme="minorEastAsia"/>
          <w:b w:val="1"/>
          <w:sz w:val="24"/>
        </w:rPr>
        <w:t>⑦所属生徒の在籍校との連携が適切に行われていること</w:t>
      </w:r>
    </w:p>
    <w:p>
      <w:pPr>
        <w:pStyle w:val="32"/>
        <w:numPr>
          <w:ilvl w:val="0"/>
          <w:numId w:val="7"/>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地域クラブ活動の活動方針や指導方針</w:t>
      </w:r>
      <w:r>
        <w:rPr>
          <w:rFonts w:hint="eastAsia" w:asciiTheme="minorEastAsia" w:hAnsiTheme="minorEastAsia" w:eastAsiaTheme="minorEastAsia"/>
          <w:w w:val="85"/>
          <w:sz w:val="24"/>
          <w:fitText w:val="240" w:id="6"/>
          <w:vertAlign w:val="superscript"/>
        </w:rPr>
        <w:t>※１</w:t>
      </w:r>
      <w:r>
        <w:rPr>
          <w:rFonts w:hint="eastAsia" w:asciiTheme="minorEastAsia" w:hAnsiTheme="minorEastAsia" w:eastAsiaTheme="minorEastAsia"/>
          <w:sz w:val="24"/>
        </w:rPr>
        <w:t>、スケジュール</w:t>
      </w:r>
      <w:r>
        <w:rPr>
          <w:rFonts w:hint="eastAsia" w:asciiTheme="minorEastAsia" w:hAnsiTheme="minorEastAsia" w:eastAsiaTheme="minorEastAsia"/>
          <w:w w:val="85"/>
          <w:sz w:val="24"/>
          <w:fitText w:val="240" w:id="7"/>
          <w:vertAlign w:val="superscript"/>
        </w:rPr>
        <w:t>※２</w:t>
      </w:r>
      <w:r>
        <w:rPr>
          <w:rFonts w:hint="eastAsia" w:asciiTheme="minorEastAsia" w:hAnsiTheme="minorEastAsia" w:eastAsiaTheme="minorEastAsia"/>
          <w:sz w:val="24"/>
        </w:rPr>
        <w:t>等を生徒の在籍する中学校等と共有すること</w:t>
      </w:r>
    </w:p>
    <w:p>
      <w:pPr>
        <w:pStyle w:val="32"/>
        <w:numPr>
          <w:ilvl w:val="0"/>
          <w:numId w:val="7"/>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生徒の活動状況や活動実績等について、生徒の在籍する中学校等と必要な情報を共有するとともに、情報を適切に管理すること</w:t>
      </w:r>
      <w:r>
        <w:rPr>
          <w:rFonts w:hint="eastAsia" w:asciiTheme="minorEastAsia" w:hAnsiTheme="minorEastAsia" w:eastAsiaTheme="minorEastAsia"/>
          <w:w w:val="85"/>
          <w:sz w:val="24"/>
          <w:fitText w:val="240" w:id="8"/>
          <w:vertAlign w:val="superscript"/>
        </w:rPr>
        <w:t>※３</w:t>
      </w:r>
    </w:p>
    <w:p>
      <w:pPr>
        <w:pStyle w:val="32"/>
        <w:numPr>
          <w:ilvl w:val="0"/>
          <w:numId w:val="7"/>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上野原市教育委員会が学校と連携して生徒・保護者等に対する情報提供等を円滑に行うことができるよう、必要な協力を行うこと</w:t>
      </w:r>
    </w:p>
    <w:p>
      <w:pPr>
        <w:pStyle w:val="32"/>
        <w:numPr>
          <w:ilvl w:val="0"/>
          <w:numId w:val="7"/>
        </w:numPr>
        <w:kinsoku w:val="1"/>
        <w:wordWrap w:val="0"/>
        <w:overflowPunct w:val="1"/>
        <w:autoSpaceDE w:val="1"/>
        <w:autoSpaceDN w:val="0"/>
        <w:snapToGrid w:val="0"/>
        <w:ind w:left="709"/>
        <w:contextualSpacing w:val="0"/>
        <w:jc w:val="both"/>
        <w:rPr>
          <w:rFonts w:hint="default" w:asciiTheme="minorEastAsia" w:hAnsiTheme="minorEastAsia" w:eastAsiaTheme="minorEastAsia"/>
          <w:sz w:val="24"/>
        </w:rPr>
      </w:pPr>
      <w:r>
        <w:rPr>
          <w:rFonts w:hint="eastAsia" w:asciiTheme="minorEastAsia" w:hAnsiTheme="minorEastAsia" w:eastAsiaTheme="minorEastAsia"/>
          <w:sz w:val="24"/>
        </w:rPr>
        <w:t>活動場所として学校施設を活用する場合や希望する教職員による兼職兼業が行われる場合等には、その円滑な実施のため、上野原市教育委員会や学校との必要な連絡調整を行うこと</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※１　平日の学校部活動と休日の地域クラブ活動が併存している場合などには、平日と休日の活動の一貫指導の観点も含む。</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※２　学校部活動同様に、考査期間は活動を行わないなど、学校行事等について学校と情報を共有し、適切な活動スケジュールを設定すること。</w:t>
      </w:r>
    </w:p>
    <w:p>
      <w:pPr>
        <w:pStyle w:val="0"/>
        <w:kinsoku w:val="1"/>
        <w:wordWrap w:val="0"/>
        <w:overflowPunct w:val="1"/>
        <w:autoSpaceDE w:val="1"/>
        <w:autoSpaceDN w:val="0"/>
        <w:snapToGrid w:val="0"/>
        <w:spacing w:line="300" w:lineRule="exact"/>
        <w:ind w:left="1050" w:leftChars="200" w:hanging="630" w:hangingChars="300"/>
        <w:jc w:val="both"/>
        <w:rPr>
          <w:rFonts w:hint="default" w:asciiTheme="minorEastAsia" w:hAnsiTheme="minorEastAsia" w:eastAsiaTheme="minorEastAsia"/>
        </w:rPr>
      </w:pPr>
      <w:r>
        <w:rPr>
          <w:rFonts w:hint="eastAsia" w:asciiTheme="minorEastAsia" w:hAnsiTheme="minorEastAsia" w:eastAsiaTheme="minorEastAsia"/>
        </w:rPr>
        <w:t>※３　</w:t>
      </w:r>
      <w:r>
        <w:rPr>
          <w:rFonts w:hint="default" w:asciiTheme="minorEastAsia" w:hAnsiTheme="minorEastAsia" w:eastAsiaTheme="minorEastAsia"/>
        </w:rPr>
        <w:t>地域クラブ活動への入会時に、生徒の在籍する中学校等と必要な情報を共有することについて、生徒の保護者の同意を得ておくこと。</w:t>
      </w:r>
    </w:p>
    <w:p>
      <w:pPr>
        <w:pStyle w:val="32"/>
        <w:kinsoku w:val="1"/>
        <w:wordWrap w:val="0"/>
        <w:overflowPunct w:val="1"/>
        <w:autoSpaceDE w:val="1"/>
        <w:autoSpaceDN w:val="0"/>
        <w:ind w:left="440"/>
        <w:jc w:val="both"/>
        <w:rPr>
          <w:rFonts w:hint="default" w:asciiTheme="minorEastAsia" w:hAnsiTheme="minorEastAsia" w:eastAsiaTheme="minorEastAsia"/>
          <w:sz w:val="24"/>
        </w:rPr>
      </w:pPr>
    </w:p>
    <w:p>
      <w:pPr>
        <w:pStyle w:val="32"/>
        <w:kinsoku w:val="1"/>
        <w:wordWrap w:val="0"/>
        <w:overflowPunct w:val="1"/>
        <w:autoSpaceDE w:val="1"/>
        <w:autoSpaceDN w:val="0"/>
        <w:ind w:left="440"/>
        <w:jc w:val="both"/>
        <w:rPr>
          <w:rFonts w:hint="default" w:asciiTheme="minorEastAsia" w:hAnsiTheme="minorEastAsia" w:eastAsiaTheme="minorEastAsia"/>
          <w:sz w:val="24"/>
        </w:rPr>
      </w:pPr>
    </w:p>
    <w:p>
      <w:pPr>
        <w:pStyle w:val="0"/>
        <w:kinsoku w:val="1"/>
        <w:wordWrap w:val="0"/>
        <w:overflowPunct w:val="1"/>
        <w:autoSpaceDE w:val="1"/>
        <w:autoSpaceDN w:val="0"/>
        <w:jc w:val="both"/>
        <w:rPr>
          <w:rFonts w:hint="default" w:asciiTheme="minorEastAsia" w:hAnsiTheme="minorEastAsia" w:eastAsiaTheme="minorEastAsia"/>
          <w:sz w:val="24"/>
        </w:rPr>
      </w:pPr>
      <w:r>
        <w:rPr>
          <w:rFonts w:hint="eastAsia" w:asciiTheme="minorEastAsia" w:hAnsiTheme="minorEastAsia" w:eastAsiaTheme="minorEastAsia"/>
          <w:sz w:val="24"/>
        </w:rPr>
        <w:t>以上のとおり要件を確認しました。</w:t>
      </w:r>
    </w:p>
    <w:p>
      <w:pPr>
        <w:pStyle w:val="0"/>
        <w:kinsoku w:val="1"/>
        <w:wordWrap w:val="0"/>
        <w:overflowPunct w:val="1"/>
        <w:autoSpaceDE w:val="1"/>
        <w:autoSpaceDN w:val="0"/>
        <w:jc w:val="both"/>
        <w:rPr>
          <w:rFonts w:hint="default" w:asciiTheme="minorEastAsia" w:hAnsiTheme="minorEastAsia" w:eastAsiaTheme="minorEastAsia"/>
          <w:sz w:val="24"/>
        </w:rPr>
      </w:pPr>
    </w:p>
    <w:p>
      <w:pPr>
        <w:pStyle w:val="0"/>
        <w:kinsoku w:val="1"/>
        <w:wordWrap w:val="0"/>
        <w:overflowPunct w:val="1"/>
        <w:autoSpaceDE w:val="1"/>
        <w:autoSpaceDN w:val="0"/>
        <w:ind w:firstLine="480" w:firstLineChars="200"/>
        <w:jc w:val="both"/>
        <w:rPr>
          <w:rFonts w:hint="default" w:asciiTheme="minorEastAsia" w:hAnsiTheme="minorEastAsia" w:eastAsiaTheme="minorEastAsia"/>
          <w:sz w:val="24"/>
        </w:rPr>
      </w:pPr>
      <w:r>
        <w:rPr>
          <w:rFonts w:hint="eastAsia" w:asciiTheme="minorEastAsia" w:hAnsiTheme="minorEastAsia" w:eastAsiaTheme="minorEastAsia"/>
          <w:sz w:val="24"/>
        </w:rPr>
        <w:t>年　　月　　日</w:t>
      </w:r>
    </w:p>
    <w:p>
      <w:pPr>
        <w:pStyle w:val="0"/>
        <w:kinsoku w:val="1"/>
        <w:wordWrap w:val="0"/>
        <w:overflowPunct w:val="1"/>
        <w:autoSpaceDE w:val="1"/>
        <w:autoSpaceDN w:val="0"/>
        <w:ind w:firstLine="480" w:firstLineChars="200"/>
        <w:jc w:val="both"/>
        <w:rPr>
          <w:rFonts w:hint="default" w:asciiTheme="minorEastAsia" w:hAnsiTheme="minorEastAsia" w:eastAsiaTheme="minorEastAsia"/>
          <w:sz w:val="24"/>
        </w:rPr>
      </w:pPr>
    </w:p>
    <w:p>
      <w:pPr>
        <w:pStyle w:val="0"/>
        <w:kinsoku w:val="1"/>
        <w:wordWrap w:val="0"/>
        <w:overflowPunct w:val="1"/>
        <w:autoSpaceDE w:val="1"/>
        <w:autoSpaceDN w:val="0"/>
        <w:ind w:right="240" w:firstLine="480" w:firstLineChars="200"/>
        <w:jc w:val="both"/>
        <w:rPr>
          <w:rFonts w:hint="default" w:asciiTheme="minorEastAsia" w:hAnsiTheme="minorEastAsia" w:eastAsiaTheme="minorEastAsia"/>
          <w:sz w:val="24"/>
        </w:rPr>
      </w:pPr>
      <w:r>
        <w:rPr>
          <w:rFonts w:hint="eastAsia" w:asciiTheme="minorEastAsia" w:hAnsiTheme="minorEastAsia" w:eastAsiaTheme="minorEastAsia"/>
          <w:sz w:val="24"/>
        </w:rPr>
        <w:t>上野原市教育委員会教育長　宛</w:t>
      </w:r>
    </w:p>
    <w:p>
      <w:pPr>
        <w:pStyle w:val="0"/>
        <w:kinsoku w:val="1"/>
        <w:wordWrap w:val="0"/>
        <w:overflowPunct w:val="1"/>
        <w:autoSpaceDE w:val="1"/>
        <w:autoSpaceDN w:val="0"/>
        <w:ind w:firstLine="480" w:firstLineChars="200"/>
        <w:jc w:val="both"/>
        <w:rPr>
          <w:rFonts w:hint="default" w:asciiTheme="minorEastAsia" w:hAnsiTheme="minorEastAsia" w:eastAsiaTheme="minorEastAsia"/>
          <w:sz w:val="24"/>
        </w:rPr>
      </w:pPr>
    </w:p>
    <w:p>
      <w:pPr>
        <w:pStyle w:val="0"/>
        <w:kinsoku w:val="1"/>
        <w:wordWrap w:val="0"/>
        <w:overflowPunct w:val="1"/>
        <w:autoSpaceDE w:val="1"/>
        <w:autoSpaceDN w:val="0"/>
        <w:ind w:firstLine="480" w:firstLineChars="200"/>
        <w:jc w:val="both"/>
        <w:rPr>
          <w:rFonts w:hint="default" w:asciiTheme="minorEastAsia" w:hAnsiTheme="minorEastAsia" w:eastAsiaTheme="minorEastAsia"/>
          <w:sz w:val="24"/>
        </w:rPr>
      </w:pPr>
    </w:p>
    <w:p>
      <w:pPr>
        <w:pStyle w:val="0"/>
        <w:kinsoku w:val="1"/>
        <w:wordWrap w:val="0"/>
        <w:overflowPunct w:val="1"/>
        <w:autoSpaceDE w:val="1"/>
        <w:autoSpaceDN w:val="0"/>
        <w:ind w:firstLine="480" w:firstLineChars="200"/>
        <w:jc w:val="both"/>
        <w:rPr>
          <w:rFonts w:hint="default" w:asciiTheme="minorEastAsia" w:hAnsiTheme="minorEastAsia" w:eastAsiaTheme="minorEastAsia"/>
          <w:sz w:val="24"/>
        </w:rPr>
      </w:pPr>
      <w:r>
        <w:rPr>
          <w:rFonts w:hint="eastAsia"/>
        </w:rPr>
        <w:t>　　　　　　　　　　　　　　　　　　　　　　　　</w:t>
      </w:r>
      <w:r>
        <w:rPr>
          <w:rFonts w:hint="eastAsia"/>
        </w:rPr>
        <w:t xml:space="preserve"> </w:t>
      </w:r>
      <w:r>
        <w:rPr>
          <w:rFonts w:hint="eastAsia" w:asciiTheme="minorEastAsia" w:hAnsiTheme="minorEastAsia" w:eastAsiaTheme="minorEastAsia"/>
          <w:spacing w:val="120"/>
          <w:sz w:val="24"/>
          <w:fitText w:val="1200" w:id="9"/>
        </w:rPr>
        <w:t>団体</w:t>
      </w:r>
      <w:r>
        <w:rPr>
          <w:rFonts w:hint="eastAsia" w:asciiTheme="minorEastAsia" w:hAnsiTheme="minorEastAsia" w:eastAsiaTheme="minorEastAsia"/>
          <w:sz w:val="24"/>
          <w:fitText w:val="1200" w:id="9"/>
        </w:rPr>
        <w:t>名</w:t>
      </w:r>
    </w:p>
    <w:p>
      <w:pPr>
        <w:pStyle w:val="0"/>
        <w:kinsoku w:val="1"/>
        <w:wordWrap w:val="0"/>
        <w:overflowPunct w:val="1"/>
        <w:autoSpaceDE w:val="1"/>
        <w:autoSpaceDN w:val="0"/>
        <w:ind w:firstLine="480" w:firstLineChars="200"/>
        <w:jc w:val="both"/>
        <w:rPr>
          <w:rFonts w:hint="default" w:asciiTheme="minorEastAsia" w:hAnsiTheme="minorEastAsia" w:eastAsiaTheme="minorEastAsia"/>
          <w:sz w:val="24"/>
        </w:rPr>
      </w:pPr>
      <w:r>
        <w:rPr>
          <w:rFonts w:hint="eastAsia"/>
        </w:rPr>
        <w:t xml:space="preserve">                                                 </w:t>
      </w:r>
      <w:r>
        <w:rPr>
          <w:rFonts w:hint="eastAsia" w:asciiTheme="minorEastAsia" w:hAnsiTheme="minorEastAsia" w:eastAsiaTheme="minorEastAsia"/>
          <w:sz w:val="24"/>
        </w:rPr>
        <w:t>代表者氏名</w:t>
      </w:r>
    </w:p>
    <w:p>
      <w:pPr>
        <w:pStyle w:val="0"/>
        <w:widowControl w:val="1"/>
        <w:kinsoku w:val="1"/>
        <w:wordWrap w:val="0"/>
        <w:overflowPunct w:val="1"/>
        <w:autoSpaceDE w:val="1"/>
        <w:autoSpaceDN w:val="0"/>
        <w:jc w:val="both"/>
        <w:rPr>
          <w:rFonts w:hint="default" w:asciiTheme="minorEastAsia" w:hAnsiTheme="minorEastAsia" w:eastAsiaTheme="minorEastAsia"/>
          <w:sz w:val="24"/>
        </w:rPr>
      </w:pPr>
    </w:p>
    <w:p>
      <w:pPr>
        <w:pStyle w:val="0"/>
        <w:widowControl w:val="1"/>
        <w:kinsoku w:val="1"/>
        <w:wordWrap w:val="0"/>
        <w:overflowPunct w:val="1"/>
        <w:autoSpaceDE w:val="1"/>
        <w:autoSpaceDN w:val="0"/>
        <w:jc w:val="both"/>
        <w:rPr>
          <w:rFonts w:hint="default" w:asciiTheme="minorEastAsia" w:hAnsiTheme="minorEastAsia" w:eastAsiaTheme="minorEastAsia"/>
          <w:sz w:val="24"/>
        </w:rPr>
      </w:pPr>
    </w:p>
    <w:p>
      <w:pPr>
        <w:pStyle w:val="0"/>
        <w:widowControl w:val="1"/>
        <w:kinsoku w:val="1"/>
        <w:wordWrap w:val="0"/>
        <w:overflowPunct w:val="1"/>
        <w:autoSpaceDE w:val="1"/>
        <w:autoSpaceDN w:val="0"/>
        <w:jc w:val="both"/>
        <w:rPr>
          <w:rFonts w:hint="default" w:asciiTheme="minorEastAsia" w:hAnsiTheme="minorEastAsia" w:eastAsiaTheme="minorEastAsia"/>
          <w:sz w:val="24"/>
        </w:rPr>
      </w:pPr>
    </w:p>
    <w:p>
      <w:pPr>
        <w:pStyle w:val="0"/>
        <w:widowControl w:val="1"/>
        <w:kinsoku w:val="1"/>
        <w:wordWrap w:val="0"/>
        <w:overflowPunct w:val="1"/>
        <w:autoSpaceDE w:val="1"/>
        <w:autoSpaceDN w:val="0"/>
        <w:jc w:val="both"/>
        <w:rPr>
          <w:rFonts w:hint="default" w:asciiTheme="minorEastAsia" w:hAnsiTheme="minorEastAsia" w:eastAsiaTheme="minorEastAsia"/>
          <w:sz w:val="24"/>
        </w:rPr>
      </w:pPr>
    </w:p>
    <w:sectPr>
      <w:footerReference r:id="rId6" w:type="default"/>
      <w:pgSz w:w="11906" w:h="16838"/>
      <w:pgMar w:top="1440" w:right="1077" w:bottom="851" w:left="1077"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メイリオ">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AR Pペン楷書体L">
    <w:panose1 w:val="00000000000000000000"/>
    <w:charset w:val="80"/>
    <w:family w:val="script"/>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324702945"/>
      <w:docPartObj>
        <w:docPartGallery w:val="Page Numbers (Bottom of Page)"/>
        <w:docPartUnique/>
      </w:docPartObj>
    </w:sdtPr>
    <w:sdtEndPr>
      <w:rPr>
        <w:rFonts w:hint="default"/>
      </w:rPr>
    </w:sdtEndPr>
    <w:sdtContent>
      <w:p>
        <w:pPr>
          <w:pStyle w:val="16"/>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rPr>
          <w:t>3</w:t>
        </w:r>
        <w:r>
          <w:rPr>
            <w:rFonts w:hint="eastAsia"/>
          </w:rPr>
          <w:fldChar w:fldCharType="end"/>
        </w:r>
      </w:p>
    </w:sdtContent>
  </w:sdt>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34CC32C"/>
    <w:lvl w:ilvl="0" w:tplc="E9482AB0">
      <w:numFmt w:val="bullet"/>
      <w:lvlText w:val="※"/>
      <w:lvlJc w:val="left"/>
      <w:pPr>
        <w:ind w:left="360" w:hanging="360"/>
      </w:pPr>
      <w:rPr>
        <w:rFonts w:hint="eastAsia" w:ascii="ＭＳ ゴシック" w:hAnsi="ＭＳ ゴシック" w:eastAsia="ＭＳ ゴシック"/>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1">
    <w:nsid w:val="00000002"/>
    <w:multiLevelType w:val="hybridMultilevel"/>
    <w:tmpl w:val="E80C928C"/>
    <w:lvl w:ilvl="0" w:tplc="661A78F8">
      <w:numFmt w:val="bullet"/>
      <w:lvlText w:val="⃞"/>
      <w:lvlJc w:val="left"/>
      <w:pPr>
        <w:ind w:left="440" w:hanging="440"/>
      </w:pPr>
      <w:rPr>
        <w:rFonts w:hint="eastAsia" w:ascii="メイリオ" w:hAnsi="メイリオ" w:eastAsia="メイリオ"/>
      </w:rPr>
    </w:lvl>
    <w:lvl w:ilvl="1" w:tplc="FFFFFFFF">
      <w:numFmt w:val="bullet"/>
      <w:lvlText w:val=""/>
      <w:lvlJc w:val="left"/>
      <w:pPr>
        <w:ind w:left="880" w:hanging="440"/>
      </w:pPr>
      <w:rPr>
        <w:rFonts w:hint="default" w:ascii="Wingdings" w:hAnsi="Wingdings"/>
      </w:rPr>
    </w:lvl>
    <w:lvl w:ilvl="2" w:tplc="FFFFFFFF">
      <w:numFmt w:val="bullet"/>
      <w:lvlText w:val=""/>
      <w:lvlJc w:val="left"/>
      <w:pPr>
        <w:ind w:left="1320" w:hanging="440"/>
      </w:pPr>
      <w:rPr>
        <w:rFonts w:hint="default" w:ascii="Wingdings" w:hAnsi="Wingdings"/>
      </w:rPr>
    </w:lvl>
    <w:lvl w:ilvl="3" w:tplc="FFFFFFFF">
      <w:numFmt w:val="bullet"/>
      <w:lvlText w:val=""/>
      <w:lvlJc w:val="left"/>
      <w:pPr>
        <w:ind w:left="1760" w:hanging="440"/>
      </w:pPr>
      <w:rPr>
        <w:rFonts w:hint="default" w:ascii="Wingdings" w:hAnsi="Wingdings"/>
      </w:rPr>
    </w:lvl>
    <w:lvl w:ilvl="4" w:tplc="FFFFFFFF">
      <w:numFmt w:val="bullet"/>
      <w:lvlText w:val=""/>
      <w:lvlJc w:val="left"/>
      <w:pPr>
        <w:ind w:left="2200" w:hanging="440"/>
      </w:pPr>
      <w:rPr>
        <w:rFonts w:hint="default" w:ascii="Wingdings" w:hAnsi="Wingdings"/>
      </w:rPr>
    </w:lvl>
    <w:lvl w:ilvl="5" w:tplc="FFFFFFFF">
      <w:numFmt w:val="bullet"/>
      <w:lvlText w:val=""/>
      <w:lvlJc w:val="left"/>
      <w:pPr>
        <w:ind w:left="2640" w:hanging="440"/>
      </w:pPr>
      <w:rPr>
        <w:rFonts w:hint="default" w:ascii="Wingdings" w:hAnsi="Wingdings"/>
      </w:rPr>
    </w:lvl>
    <w:lvl w:ilvl="6" w:tplc="FFFFFFFF">
      <w:numFmt w:val="bullet"/>
      <w:lvlText w:val=""/>
      <w:lvlJc w:val="left"/>
      <w:pPr>
        <w:ind w:left="3080" w:hanging="440"/>
      </w:pPr>
      <w:rPr>
        <w:rFonts w:hint="default" w:ascii="Wingdings" w:hAnsi="Wingdings"/>
      </w:rPr>
    </w:lvl>
    <w:lvl w:ilvl="7" w:tplc="FFFFFFFF">
      <w:numFmt w:val="bullet"/>
      <w:lvlText w:val=""/>
      <w:lvlJc w:val="left"/>
      <w:pPr>
        <w:ind w:left="3520" w:hanging="440"/>
      </w:pPr>
      <w:rPr>
        <w:rFonts w:hint="default" w:ascii="Wingdings" w:hAnsi="Wingdings"/>
      </w:rPr>
    </w:lvl>
    <w:lvl w:ilvl="8" w:tplc="FFFFFFFF">
      <w:numFmt w:val="bullet"/>
      <w:lvlText w:val=""/>
      <w:lvlJc w:val="left"/>
      <w:pPr>
        <w:ind w:left="3960" w:hanging="440"/>
      </w:pPr>
      <w:rPr>
        <w:rFonts w:hint="default" w:ascii="Wingdings" w:hAnsi="Wingdings"/>
      </w:rPr>
    </w:lvl>
  </w:abstractNum>
  <w:abstractNum w:abstractNumId="2">
    <w:nsid w:val="00000003"/>
    <w:multiLevelType w:val="hybridMultilevel"/>
    <w:tmpl w:val="961C3008"/>
    <w:lvl w:ilvl="0" w:tplc="661A78F8">
      <w:numFmt w:val="bullet"/>
      <w:lvlText w:val="⃞"/>
      <w:lvlJc w:val="left"/>
      <w:pPr>
        <w:ind w:left="440" w:hanging="440"/>
      </w:pPr>
      <w:rPr>
        <w:rFonts w:hint="eastAsia" w:ascii="メイリオ" w:hAnsi="メイリオ" w:eastAsia="メイリオ"/>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3">
    <w:nsid w:val="00000004"/>
    <w:multiLevelType w:val="hybridMultilevel"/>
    <w:tmpl w:val="98A6C62E"/>
    <w:lvl w:ilvl="0" w:tplc="661A78F8">
      <w:numFmt w:val="bullet"/>
      <w:lvlText w:val="⃞"/>
      <w:lvlJc w:val="left"/>
      <w:pPr>
        <w:ind w:left="440" w:hanging="440"/>
      </w:pPr>
      <w:rPr>
        <w:rFonts w:hint="eastAsia" w:ascii="メイリオ" w:hAnsi="メイリオ" w:eastAsia="メイリオ"/>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4">
    <w:nsid w:val="00000005"/>
    <w:multiLevelType w:val="hybridMultilevel"/>
    <w:tmpl w:val="68A4B2F0"/>
    <w:lvl w:ilvl="0" w:tplc="661A78F8">
      <w:numFmt w:val="bullet"/>
      <w:lvlText w:val="⃞"/>
      <w:lvlJc w:val="left"/>
      <w:pPr>
        <w:ind w:left="440" w:hanging="440"/>
      </w:pPr>
      <w:rPr>
        <w:rFonts w:hint="eastAsia" w:ascii="メイリオ" w:hAnsi="メイリオ" w:eastAsia="メイリオ"/>
      </w:rPr>
    </w:lvl>
    <w:lvl w:ilvl="1" w:tplc="0409000B">
      <w:numFmt w:val="bullet"/>
      <w:lvlText w:val=""/>
      <w:lvlJc w:val="left"/>
      <w:pPr>
        <w:ind w:left="880" w:hanging="440"/>
      </w:pPr>
      <w:rPr>
        <w:rFonts w:hint="default" w:ascii="Wingdings" w:hAnsi="Wingdings"/>
      </w:rPr>
    </w:lvl>
    <w:lvl w:ilvl="2" w:tplc="0409000D">
      <w:numFmt w:val="bullet"/>
      <w:lvlText w:val=""/>
      <w:lvlJc w:val="left"/>
      <w:pPr>
        <w:ind w:left="1320" w:hanging="440"/>
      </w:pPr>
      <w:rPr>
        <w:rFonts w:hint="default" w:ascii="Wingdings" w:hAnsi="Wingdings"/>
      </w:rPr>
    </w:lvl>
    <w:lvl w:ilvl="3" w:tplc="04090001">
      <w:numFmt w:val="bullet"/>
      <w:lvlText w:val=""/>
      <w:lvlJc w:val="left"/>
      <w:pPr>
        <w:ind w:left="1760" w:hanging="440"/>
      </w:pPr>
      <w:rPr>
        <w:rFonts w:hint="default" w:ascii="Wingdings" w:hAnsi="Wingdings"/>
      </w:rPr>
    </w:lvl>
    <w:lvl w:ilvl="4" w:tplc="0409000B">
      <w:numFmt w:val="bullet"/>
      <w:lvlText w:val=""/>
      <w:lvlJc w:val="left"/>
      <w:pPr>
        <w:ind w:left="2200" w:hanging="440"/>
      </w:pPr>
      <w:rPr>
        <w:rFonts w:hint="default" w:ascii="Wingdings" w:hAnsi="Wingdings"/>
      </w:rPr>
    </w:lvl>
    <w:lvl w:ilvl="5" w:tplc="0409000D">
      <w:numFmt w:val="bullet"/>
      <w:lvlText w:val=""/>
      <w:lvlJc w:val="left"/>
      <w:pPr>
        <w:ind w:left="2640" w:hanging="440"/>
      </w:pPr>
      <w:rPr>
        <w:rFonts w:hint="default" w:ascii="Wingdings" w:hAnsi="Wingdings"/>
      </w:rPr>
    </w:lvl>
    <w:lvl w:ilvl="6" w:tplc="04090001">
      <w:numFmt w:val="bullet"/>
      <w:lvlText w:val=""/>
      <w:lvlJc w:val="left"/>
      <w:pPr>
        <w:ind w:left="3080" w:hanging="440"/>
      </w:pPr>
      <w:rPr>
        <w:rFonts w:hint="default" w:ascii="Wingdings" w:hAnsi="Wingdings"/>
      </w:rPr>
    </w:lvl>
    <w:lvl w:ilvl="7" w:tplc="0409000B">
      <w:numFmt w:val="bullet"/>
      <w:lvlText w:val=""/>
      <w:lvlJc w:val="left"/>
      <w:pPr>
        <w:ind w:left="3520" w:hanging="440"/>
      </w:pPr>
      <w:rPr>
        <w:rFonts w:hint="default" w:ascii="Wingdings" w:hAnsi="Wingdings"/>
      </w:rPr>
    </w:lvl>
    <w:lvl w:ilvl="8" w:tplc="0409000D">
      <w:numFmt w:val="bullet"/>
      <w:lvlText w:val=""/>
      <w:lvlJc w:val="left"/>
      <w:pPr>
        <w:ind w:left="3960" w:hanging="440"/>
      </w:pPr>
      <w:rPr>
        <w:rFonts w:hint="default" w:ascii="Wingdings" w:hAnsi="Wingdings"/>
      </w:rPr>
    </w:lvl>
  </w:abstractNum>
  <w:abstractNum w:abstractNumId="5">
    <w:nsid w:val="00000006"/>
    <w:multiLevelType w:val="hybridMultilevel"/>
    <w:tmpl w:val="3514CDFC"/>
    <w:lvl w:ilvl="0" w:tplc="FFFFFFFF">
      <w:numFmt w:val="bullet"/>
      <w:lvlText w:val="⃞"/>
      <w:lvlJc w:val="left"/>
      <w:pPr>
        <w:ind w:left="440" w:hanging="440"/>
      </w:pPr>
      <w:rPr>
        <w:rFonts w:hint="eastAsia" w:ascii="メイリオ" w:hAnsi="メイリオ" w:eastAsia="メイリオ"/>
      </w:rPr>
    </w:lvl>
    <w:lvl w:ilvl="1" w:tplc="41D6FBC4">
      <w:numFmt w:val="bullet"/>
      <w:lvlText w:val="・"/>
      <w:lvlJc w:val="left"/>
      <w:pPr>
        <w:ind w:left="880" w:hanging="440"/>
      </w:pPr>
      <w:rPr>
        <w:rFonts w:hint="eastAsia" w:ascii="ＭＳ ゴシック" w:hAnsi="ＭＳ ゴシック" w:eastAsia="ＭＳ ゴシック"/>
      </w:rPr>
    </w:lvl>
    <w:lvl w:ilvl="2" w:tplc="B3E006B6">
      <w:numFmt w:val="bullet"/>
      <w:lvlText w:val="▲"/>
      <w:lvlJc w:val="left"/>
      <w:pPr>
        <w:ind w:left="1240" w:hanging="360"/>
      </w:pPr>
      <w:rPr>
        <w:rFonts w:hint="eastAsia" w:ascii="ＭＳ 明朝" w:hAnsi="ＭＳ 明朝" w:eastAsia="ＭＳ 明朝"/>
      </w:rPr>
    </w:lvl>
    <w:lvl w:ilvl="3" w:tplc="FFFFFFFF">
      <w:numFmt w:val="bullet"/>
      <w:lvlText w:val=""/>
      <w:lvlJc w:val="left"/>
      <w:pPr>
        <w:ind w:left="1760" w:hanging="440"/>
      </w:pPr>
      <w:rPr>
        <w:rFonts w:hint="default" w:ascii="Wingdings" w:hAnsi="Wingdings"/>
      </w:rPr>
    </w:lvl>
    <w:lvl w:ilvl="4" w:tplc="FFFFFFFF">
      <w:numFmt w:val="bullet"/>
      <w:lvlText w:val=""/>
      <w:lvlJc w:val="left"/>
      <w:pPr>
        <w:ind w:left="2200" w:hanging="440"/>
      </w:pPr>
      <w:rPr>
        <w:rFonts w:hint="default" w:ascii="Wingdings" w:hAnsi="Wingdings"/>
      </w:rPr>
    </w:lvl>
    <w:lvl w:ilvl="5" w:tplc="FFFFFFFF">
      <w:numFmt w:val="bullet"/>
      <w:lvlText w:val=""/>
      <w:lvlJc w:val="left"/>
      <w:pPr>
        <w:ind w:left="2640" w:hanging="440"/>
      </w:pPr>
      <w:rPr>
        <w:rFonts w:hint="default" w:ascii="Wingdings" w:hAnsi="Wingdings"/>
      </w:rPr>
    </w:lvl>
    <w:lvl w:ilvl="6" w:tplc="FFFFFFFF">
      <w:numFmt w:val="bullet"/>
      <w:lvlText w:val=""/>
      <w:lvlJc w:val="left"/>
      <w:pPr>
        <w:ind w:left="3080" w:hanging="440"/>
      </w:pPr>
      <w:rPr>
        <w:rFonts w:hint="default" w:ascii="Wingdings" w:hAnsi="Wingdings"/>
      </w:rPr>
    </w:lvl>
    <w:lvl w:ilvl="7" w:tplc="FFFFFFFF">
      <w:numFmt w:val="bullet"/>
      <w:lvlText w:val=""/>
      <w:lvlJc w:val="left"/>
      <w:pPr>
        <w:ind w:left="3520" w:hanging="440"/>
      </w:pPr>
      <w:rPr>
        <w:rFonts w:hint="default" w:ascii="Wingdings" w:hAnsi="Wingdings"/>
      </w:rPr>
    </w:lvl>
    <w:lvl w:ilvl="8" w:tplc="FFFFFFFF">
      <w:numFmt w:val="bullet"/>
      <w:lvlText w:val=""/>
      <w:lvlJc w:val="left"/>
      <w:pPr>
        <w:ind w:left="3960" w:hanging="440"/>
      </w:pPr>
      <w:rPr>
        <w:rFonts w:hint="default" w:ascii="Wingdings" w:hAnsi="Wingdings"/>
      </w:rPr>
    </w:lvl>
  </w:abstractNum>
  <w:abstractNum w:abstractNumId="6">
    <w:nsid w:val="00000007"/>
    <w:multiLevelType w:val="hybridMultilevel"/>
    <w:tmpl w:val="15D60D18"/>
    <w:lvl w:ilvl="0" w:tplc="661A78F8">
      <w:numFmt w:val="bullet"/>
      <w:lvlText w:val="⃞"/>
      <w:lvlJc w:val="left"/>
      <w:pPr>
        <w:ind w:left="440" w:hanging="440"/>
      </w:pPr>
      <w:rPr>
        <w:rFonts w:hint="eastAsia" w:ascii="メイリオ" w:hAnsi="メイリオ" w:eastAsia="メイリオ"/>
      </w:rPr>
    </w:lvl>
    <w:lvl w:ilvl="1" w:tplc="FFFFFFFF">
      <w:numFmt w:val="bullet"/>
      <w:lvlText w:val=""/>
      <w:lvlJc w:val="left"/>
      <w:pPr>
        <w:ind w:left="880" w:hanging="440"/>
      </w:pPr>
      <w:rPr>
        <w:rFonts w:hint="default" w:ascii="Wingdings" w:hAnsi="Wingdings"/>
      </w:rPr>
    </w:lvl>
    <w:lvl w:ilvl="2" w:tplc="FFFFFFFF">
      <w:numFmt w:val="bullet"/>
      <w:lvlText w:val=""/>
      <w:lvlJc w:val="left"/>
      <w:pPr>
        <w:ind w:left="1320" w:hanging="440"/>
      </w:pPr>
      <w:rPr>
        <w:rFonts w:hint="default" w:ascii="Wingdings" w:hAnsi="Wingdings"/>
      </w:rPr>
    </w:lvl>
    <w:lvl w:ilvl="3" w:tplc="FFFFFFFF">
      <w:numFmt w:val="bullet"/>
      <w:lvlText w:val=""/>
      <w:lvlJc w:val="left"/>
      <w:pPr>
        <w:ind w:left="1760" w:hanging="440"/>
      </w:pPr>
      <w:rPr>
        <w:rFonts w:hint="default" w:ascii="Wingdings" w:hAnsi="Wingdings"/>
      </w:rPr>
    </w:lvl>
    <w:lvl w:ilvl="4" w:tplc="FFFFFFFF">
      <w:numFmt w:val="bullet"/>
      <w:lvlText w:val=""/>
      <w:lvlJc w:val="left"/>
      <w:pPr>
        <w:ind w:left="2200" w:hanging="440"/>
      </w:pPr>
      <w:rPr>
        <w:rFonts w:hint="default" w:ascii="Wingdings" w:hAnsi="Wingdings"/>
      </w:rPr>
    </w:lvl>
    <w:lvl w:ilvl="5" w:tplc="FFFFFFFF">
      <w:numFmt w:val="bullet"/>
      <w:lvlText w:val=""/>
      <w:lvlJc w:val="left"/>
      <w:pPr>
        <w:ind w:left="2640" w:hanging="440"/>
      </w:pPr>
      <w:rPr>
        <w:rFonts w:hint="default" w:ascii="Wingdings" w:hAnsi="Wingdings"/>
      </w:rPr>
    </w:lvl>
    <w:lvl w:ilvl="6" w:tplc="FFFFFFFF">
      <w:numFmt w:val="bullet"/>
      <w:lvlText w:val=""/>
      <w:lvlJc w:val="left"/>
      <w:pPr>
        <w:ind w:left="3080" w:hanging="440"/>
      </w:pPr>
      <w:rPr>
        <w:rFonts w:hint="default" w:ascii="Wingdings" w:hAnsi="Wingdings"/>
      </w:rPr>
    </w:lvl>
    <w:lvl w:ilvl="7" w:tplc="FFFFFFFF">
      <w:numFmt w:val="bullet"/>
      <w:lvlText w:val=""/>
      <w:lvlJc w:val="left"/>
      <w:pPr>
        <w:ind w:left="3520" w:hanging="440"/>
      </w:pPr>
      <w:rPr>
        <w:rFonts w:hint="default" w:ascii="Wingdings" w:hAnsi="Wingdings"/>
      </w:rPr>
    </w:lvl>
    <w:lvl w:ilvl="8" w:tplc="FFFFFFFF">
      <w:numFmt w:val="bullet"/>
      <w:lvlText w:val=""/>
      <w:lvlJc w:val="left"/>
      <w:pPr>
        <w:ind w:left="3960" w:hanging="44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sz w:val="21"/>
    </w:rPr>
  </w:style>
  <w:style w:type="paragraph" w:styleId="1">
    <w:name w:val="heading 1"/>
    <w:basedOn w:val="0"/>
    <w:next w:val="0"/>
    <w:link w:val="17"/>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8"/>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9"/>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20"/>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21"/>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2"/>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3"/>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4"/>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5"/>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49"/>
    <w:uiPriority w:val="0"/>
    <w:pPr>
      <w:tabs>
        <w:tab w:val="center" w:leader="none" w:pos="4252"/>
        <w:tab w:val="right" w:leader="none" w:pos="8504"/>
      </w:tabs>
      <w:snapToGrid w:val="0"/>
    </w:pPr>
  </w:style>
  <w:style w:type="character" w:styleId="17" w:customStyle="1">
    <w:name w:val="見出し 1 (文字)"/>
    <w:basedOn w:val="10"/>
    <w:next w:val="17"/>
    <w:link w:val="1"/>
    <w:uiPriority w:val="0"/>
    <w:rPr>
      <w:rFonts w:asciiTheme="majorHAnsi" w:hAnsiTheme="majorHAnsi" w:eastAsiaTheme="majorEastAsia"/>
      <w:color w:val="000000" w:themeColor="text1"/>
      <w:sz w:val="32"/>
    </w:rPr>
  </w:style>
  <w:style w:type="character" w:styleId="18" w:customStyle="1">
    <w:name w:val="見出し 2 (文字)"/>
    <w:basedOn w:val="10"/>
    <w:next w:val="18"/>
    <w:link w:val="2"/>
    <w:uiPriority w:val="0"/>
    <w:rPr>
      <w:rFonts w:asciiTheme="majorHAnsi" w:hAnsiTheme="majorHAnsi" w:eastAsiaTheme="majorEastAsia"/>
      <w:color w:val="000000" w:themeColor="text1"/>
      <w:sz w:val="28"/>
    </w:rPr>
  </w:style>
  <w:style w:type="character" w:styleId="19" w:customStyle="1">
    <w:name w:val="見出し 3 (文字)"/>
    <w:basedOn w:val="10"/>
    <w:next w:val="19"/>
    <w:link w:val="3"/>
    <w:uiPriority w:val="0"/>
    <w:rPr>
      <w:rFonts w:asciiTheme="majorHAnsi" w:hAnsiTheme="majorHAnsi" w:eastAsiaTheme="majorEastAsia"/>
      <w:color w:val="000000" w:themeColor="text1"/>
      <w:sz w:val="24"/>
    </w:rPr>
  </w:style>
  <w:style w:type="character" w:styleId="20" w:customStyle="1">
    <w:name w:val="見出し 4 (文字)"/>
    <w:basedOn w:val="10"/>
    <w:next w:val="20"/>
    <w:link w:val="4"/>
    <w:uiPriority w:val="0"/>
    <w:rPr>
      <w:rFonts w:asciiTheme="majorHAnsi" w:hAnsiTheme="majorHAnsi" w:eastAsiaTheme="majorEastAsia"/>
      <w:color w:val="000000" w:themeColor="text1"/>
      <w:sz w:val="21"/>
    </w:rPr>
  </w:style>
  <w:style w:type="character" w:styleId="21" w:customStyle="1">
    <w:name w:val="見出し 5 (文字)"/>
    <w:basedOn w:val="10"/>
    <w:next w:val="21"/>
    <w:link w:val="5"/>
    <w:uiPriority w:val="0"/>
    <w:rPr>
      <w:rFonts w:asciiTheme="majorHAnsi" w:hAnsiTheme="majorHAnsi" w:eastAsiaTheme="majorEastAsia"/>
      <w:color w:val="000000" w:themeColor="text1"/>
      <w:sz w:val="21"/>
    </w:rPr>
  </w:style>
  <w:style w:type="character" w:styleId="22" w:customStyle="1">
    <w:name w:val="見出し 6 (文字)"/>
    <w:basedOn w:val="10"/>
    <w:next w:val="22"/>
    <w:link w:val="6"/>
    <w:uiPriority w:val="0"/>
    <w:rPr>
      <w:rFonts w:asciiTheme="majorHAnsi" w:hAnsiTheme="majorHAnsi" w:eastAsiaTheme="majorEastAsia"/>
      <w:color w:val="000000" w:themeColor="text1"/>
      <w:sz w:val="21"/>
    </w:rPr>
  </w:style>
  <w:style w:type="character" w:styleId="23" w:customStyle="1">
    <w:name w:val="見出し 7 (文字)"/>
    <w:basedOn w:val="10"/>
    <w:next w:val="23"/>
    <w:link w:val="7"/>
    <w:uiPriority w:val="0"/>
    <w:rPr>
      <w:rFonts w:asciiTheme="majorHAnsi" w:hAnsiTheme="majorHAnsi" w:eastAsiaTheme="majorEastAsia"/>
      <w:color w:val="000000" w:themeColor="text1"/>
      <w:sz w:val="21"/>
    </w:rPr>
  </w:style>
  <w:style w:type="character" w:styleId="24" w:customStyle="1">
    <w:name w:val="見出し 8 (文字)"/>
    <w:basedOn w:val="10"/>
    <w:next w:val="24"/>
    <w:link w:val="8"/>
    <w:uiPriority w:val="0"/>
    <w:rPr>
      <w:rFonts w:asciiTheme="majorHAnsi" w:hAnsiTheme="majorHAnsi" w:eastAsiaTheme="majorEastAsia"/>
      <w:color w:val="000000" w:themeColor="text1"/>
      <w:sz w:val="21"/>
    </w:rPr>
  </w:style>
  <w:style w:type="character" w:styleId="25" w:customStyle="1">
    <w:name w:val="見出し 9 (文字)"/>
    <w:basedOn w:val="10"/>
    <w:next w:val="25"/>
    <w:link w:val="9"/>
    <w:uiPriority w:val="0"/>
    <w:rPr>
      <w:rFonts w:asciiTheme="majorHAnsi" w:hAnsiTheme="majorHAnsi" w:eastAsiaTheme="majorEastAsia"/>
      <w:color w:val="000000" w:themeColor="text1"/>
      <w:sz w:val="21"/>
    </w:rPr>
  </w:style>
  <w:style w:type="paragraph" w:styleId="26">
    <w:name w:val="Title"/>
    <w:basedOn w:val="0"/>
    <w:next w:val="0"/>
    <w:link w:val="27"/>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7" w:customStyle="1">
    <w:name w:val="表題 (文字)"/>
    <w:basedOn w:val="10"/>
    <w:next w:val="27"/>
    <w:link w:val="26"/>
    <w:uiPriority w:val="0"/>
    <w:rPr>
      <w:rFonts w:asciiTheme="majorHAnsi" w:hAnsiTheme="majorHAnsi" w:eastAsiaTheme="majorEastAsia"/>
      <w:spacing w:val="-10"/>
      <w:kern w:val="28"/>
      <w:sz w:val="56"/>
    </w:rPr>
  </w:style>
  <w:style w:type="paragraph" w:styleId="28">
    <w:name w:val="Subtitle"/>
    <w:basedOn w:val="0"/>
    <w:next w:val="0"/>
    <w:link w:val="29"/>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9" w:customStyle="1">
    <w:name w:val="副題 (文字)"/>
    <w:basedOn w:val="10"/>
    <w:next w:val="29"/>
    <w:link w:val="28"/>
    <w:uiPriority w:val="0"/>
    <w:rPr>
      <w:rFonts w:asciiTheme="majorHAnsi" w:hAnsiTheme="majorHAnsi" w:eastAsiaTheme="majorEastAsia"/>
      <w:color w:val="595959" w:themeColor="text1" w:themeTint="A6"/>
      <w:spacing w:val="15"/>
      <w:sz w:val="28"/>
    </w:rPr>
  </w:style>
  <w:style w:type="paragraph" w:styleId="30">
    <w:name w:val="Quote"/>
    <w:basedOn w:val="0"/>
    <w:next w:val="0"/>
    <w:link w:val="31"/>
    <w:uiPriority w:val="0"/>
    <w:qFormat/>
    <w:pPr>
      <w:spacing w:before="160" w:beforeLines="0" w:beforeAutospacing="0" w:after="160" w:afterLines="0" w:afterAutospacing="0"/>
      <w:jc w:val="center"/>
    </w:pPr>
    <w:rPr>
      <w:i w:val="1"/>
      <w:color w:val="424242" w:themeColor="text1" w:themeTint="BF"/>
    </w:rPr>
  </w:style>
  <w:style w:type="character" w:styleId="31" w:customStyle="1">
    <w:name w:val="引用文 (文字)"/>
    <w:basedOn w:val="10"/>
    <w:next w:val="31"/>
    <w:link w:val="30"/>
    <w:uiPriority w:val="0"/>
    <w:rPr>
      <w:i w:val="1"/>
      <w:color w:val="424242" w:themeColor="text1" w:themeTint="BF"/>
      <w:sz w:val="21"/>
    </w:rPr>
  </w:style>
  <w:style w:type="paragraph" w:styleId="32">
    <w:name w:val="List Paragraph"/>
    <w:basedOn w:val="0"/>
    <w:next w:val="32"/>
    <w:link w:val="0"/>
    <w:uiPriority w:val="0"/>
    <w:qFormat/>
    <w:pPr>
      <w:ind w:left="720"/>
      <w:contextualSpacing w:val="1"/>
    </w:pPr>
  </w:style>
  <w:style w:type="character" w:styleId="33">
    <w:name w:val="Intense Emphasis"/>
    <w:basedOn w:val="10"/>
    <w:next w:val="33"/>
    <w:link w:val="0"/>
    <w:uiPriority w:val="0"/>
    <w:qFormat/>
    <w:rPr>
      <w:i w:val="1"/>
      <w:color w:val="366092" w:themeColor="accent1" w:themeShade="BF"/>
    </w:rPr>
  </w:style>
  <w:style w:type="paragraph" w:styleId="34">
    <w:name w:val="Intense Quote"/>
    <w:basedOn w:val="0"/>
    <w:next w:val="0"/>
    <w:link w:val="35"/>
    <w:uiPriority w:val="0"/>
    <w:qFormat/>
    <w:pPr>
      <w:pBdr>
        <w:top w:val="single" w:color="366092" w:themeColor="accent1" w:themeShade="BF" w:sz="4" w:space="10"/>
        <w:bottom w:val="single" w:color="366092" w:themeColor="accent1" w:themeShade="BF" w:sz="4" w:space="10"/>
      </w:pBdr>
      <w:spacing w:before="360" w:beforeLines="0" w:beforeAutospacing="0" w:after="360" w:afterLines="0" w:afterAutospacing="0"/>
      <w:ind w:left="864" w:right="864"/>
      <w:jc w:val="center"/>
    </w:pPr>
    <w:rPr>
      <w:i w:val="1"/>
      <w:color w:val="366092" w:themeColor="accent1" w:themeShade="BF"/>
    </w:rPr>
  </w:style>
  <w:style w:type="character" w:styleId="35" w:customStyle="1">
    <w:name w:val="引用文 2 (文字)"/>
    <w:basedOn w:val="10"/>
    <w:next w:val="35"/>
    <w:link w:val="34"/>
    <w:uiPriority w:val="0"/>
    <w:rPr>
      <w:i w:val="1"/>
      <w:color w:val="366092" w:themeColor="accent1" w:themeShade="BF"/>
      <w:sz w:val="21"/>
    </w:rPr>
  </w:style>
  <w:style w:type="character" w:styleId="36">
    <w:name w:val="Intense Reference"/>
    <w:basedOn w:val="10"/>
    <w:next w:val="36"/>
    <w:link w:val="0"/>
    <w:uiPriority w:val="0"/>
    <w:qFormat/>
    <w:rPr>
      <w:b w:val="1"/>
      <w:smallCaps w:val="1"/>
      <w:color w:val="366092" w:themeColor="accent1" w:themeShade="BF"/>
      <w:spacing w:val="5"/>
    </w:rPr>
  </w:style>
  <w:style w:type="character" w:styleId="37">
    <w:name w:val="annotation reference"/>
    <w:basedOn w:val="10"/>
    <w:next w:val="37"/>
    <w:link w:val="0"/>
    <w:uiPriority w:val="0"/>
    <w:semiHidden/>
    <w:rPr>
      <w:sz w:val="18"/>
    </w:rPr>
  </w:style>
  <w:style w:type="paragraph" w:styleId="38">
    <w:name w:val="annotation text"/>
    <w:basedOn w:val="0"/>
    <w:next w:val="38"/>
    <w:link w:val="39"/>
    <w:uiPriority w:val="0"/>
    <w:semiHidden/>
    <w:pPr>
      <w:jc w:val="left"/>
    </w:pPr>
  </w:style>
  <w:style w:type="character" w:styleId="39" w:customStyle="1">
    <w:name w:val="コメント文字列 (文字)"/>
    <w:basedOn w:val="10"/>
    <w:next w:val="39"/>
    <w:link w:val="38"/>
    <w:uiPriority w:val="0"/>
    <w:rPr>
      <w:sz w:val="21"/>
    </w:rPr>
  </w:style>
  <w:style w:type="paragraph" w:styleId="40">
    <w:name w:val="annotation subject"/>
    <w:basedOn w:val="38"/>
    <w:next w:val="38"/>
    <w:link w:val="41"/>
    <w:uiPriority w:val="0"/>
    <w:semiHidden/>
    <w:rPr>
      <w:b w:val="1"/>
    </w:rPr>
  </w:style>
  <w:style w:type="character" w:styleId="41" w:customStyle="1">
    <w:name w:val="コメント内容 (文字)"/>
    <w:basedOn w:val="39"/>
    <w:next w:val="41"/>
    <w:link w:val="40"/>
    <w:uiPriority w:val="0"/>
    <w:rPr>
      <w:b w:val="1"/>
      <w:sz w:val="21"/>
    </w:rPr>
  </w:style>
  <w:style w:type="character" w:styleId="42">
    <w:name w:val="Hyperlink"/>
    <w:basedOn w:val="10"/>
    <w:next w:val="42"/>
    <w:link w:val="0"/>
    <w:uiPriority w:val="0"/>
    <w:rPr>
      <w:color w:val="0000FF" w:themeColor="hyperlink"/>
      <w:u w:val="single" w:color="auto"/>
    </w:rPr>
  </w:style>
  <w:style w:type="character" w:styleId="43" w:customStyle="1">
    <w:name w:val="Unresolved Mention"/>
    <w:basedOn w:val="10"/>
    <w:next w:val="43"/>
    <w:link w:val="0"/>
    <w:uiPriority w:val="0"/>
    <w:rPr>
      <w:color w:val="605E5C"/>
      <w:shd w:val="clear" w:color="auto" w:fill="E1DFDD"/>
    </w:rPr>
  </w:style>
  <w:style w:type="paragraph" w:styleId="44">
    <w:name w:val="Note Heading"/>
    <w:basedOn w:val="0"/>
    <w:next w:val="0"/>
    <w:link w:val="45"/>
    <w:uiPriority w:val="0"/>
    <w:pPr>
      <w:jc w:val="center"/>
    </w:pPr>
  </w:style>
  <w:style w:type="character" w:styleId="45" w:customStyle="1">
    <w:name w:val="記 (文字)"/>
    <w:basedOn w:val="10"/>
    <w:next w:val="45"/>
    <w:link w:val="44"/>
    <w:uiPriority w:val="0"/>
    <w:rPr>
      <w:sz w:val="21"/>
    </w:rPr>
  </w:style>
  <w:style w:type="paragraph" w:styleId="46">
    <w:name w:val="Closing"/>
    <w:basedOn w:val="0"/>
    <w:next w:val="46"/>
    <w:link w:val="47"/>
    <w:uiPriority w:val="0"/>
    <w:pPr>
      <w:jc w:val="right"/>
    </w:pPr>
  </w:style>
  <w:style w:type="character" w:styleId="47" w:customStyle="1">
    <w:name w:val="結語 (文字)"/>
    <w:basedOn w:val="10"/>
    <w:next w:val="47"/>
    <w:link w:val="46"/>
    <w:uiPriority w:val="0"/>
    <w:rPr>
      <w:sz w:val="21"/>
    </w:rPr>
  </w:style>
  <w:style w:type="paragraph" w:styleId="48">
    <w:name w:val="Revision"/>
    <w:next w:val="48"/>
    <w:link w:val="0"/>
    <w:uiPriority w:val="0"/>
    <w:rPr>
      <w:sz w:val="21"/>
    </w:rPr>
  </w:style>
  <w:style w:type="character" w:styleId="49" w:customStyle="1">
    <w:name w:val="フッター (文字)"/>
    <w:basedOn w:val="10"/>
    <w:next w:val="49"/>
    <w:link w:val="16"/>
    <w:uiPriority w:val="0"/>
    <w:rPr>
      <w:sz w:val="21"/>
    </w:rPr>
  </w:style>
  <w:style w:type="character" w:styleId="50">
    <w:name w:val="footnote reference"/>
    <w:basedOn w:val="10"/>
    <w:next w:val="50"/>
    <w:link w:val="0"/>
    <w:uiPriority w:val="0"/>
    <w:semiHidden/>
    <w:rPr>
      <w:vertAlign w:val="superscript"/>
    </w:rPr>
  </w:style>
  <w:style w:type="character" w:styleId="51">
    <w:name w:val="endnote reference"/>
    <w:basedOn w:val="10"/>
    <w:next w:val="51"/>
    <w:link w:val="0"/>
    <w:uiPriority w:val="0"/>
    <w:semiHidden/>
    <w:rPr>
      <w:vertAlign w:val="superscript"/>
    </w:rPr>
  </w:style>
  <w:style w:type="table" w:styleId="52">
    <w:name w:val="Table Grid"/>
    <w:basedOn w:val="11"/>
    <w:next w:val="5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785</TotalTime>
  <Pages>3</Pages>
  <Words>0</Words>
  <Characters>3106</Characters>
  <Application>JUST Note</Application>
  <Lines>124</Lines>
  <Paragraphs>52</Paragraphs>
  <CharactersWithSpaces>3202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2026-07-14T07:53:59Z</cp:lastPrinted>
  <dcterms:created xsi:type="dcterms:W3CDTF">2025-12-04T09:04:00Z</dcterms:created>
  <dcterms:modified xsi:type="dcterms:W3CDTF">2026-07-02T05:32:48Z</dcterms:modified>
  <cp:revision>6</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d899a617-f30e-4fb8-b81c-fb6d0b94ac5b_ActionId">
    <vt:lpwstr>713ddfa3-4397-42a4-8633-edf26849acfd</vt:lpwstr>
  </property>
  <property fmtid="{D5CDD505-2E9C-101B-9397-08002B2CF9AE}" pid="3" name="MSIP_Label_d899a617-f30e-4fb8-b81c-fb6d0b94ac5b_ContentBits">
    <vt:lpwstr>0</vt:lpwstr>
  </property>
  <property fmtid="{D5CDD505-2E9C-101B-9397-08002B2CF9AE}" pid="4" name="MSIP_Label_d899a617-f30e-4fb8-b81c-fb6d0b94ac5b_Enabled">
    <vt:lpwstr>true</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etDate">
    <vt:lpwstr>2025-11-12T05:25:46Z</vt:lpwstr>
  </property>
  <property fmtid="{D5CDD505-2E9C-101B-9397-08002B2CF9AE}" pid="8" name="MSIP_Label_d899a617-f30e-4fb8-b81c-fb6d0b94ac5b_SiteId">
    <vt:lpwstr>545810b0-36cb-4290-8926-48dbc0f9e92f</vt:lpwstr>
  </property>
  <property fmtid="{D5CDD505-2E9C-101B-9397-08002B2CF9AE}" pid="9" name="MSIP_Label_d899a617-f30e-4fb8-b81c-fb6d0b94ac5b_Tag">
    <vt:lpwstr>10, 3, 0, 1</vt:lpwstr>
  </property>
</Properties>
</file>